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who leads governed release engineering and agentic AI platform strategy, embedding automated security scanning and release resilience into regulated modernization delivery. Building on that foundation, the executive architects a governed agentic AI control plane spanning agent workflow coordination contracts and controlled execution. From that platform base, route-policy dispatch design governs L0 execution surfaces, aligning operating-model discipline with deterministic control across enterprise programs. In parallel, runtime proof-bundle lineage and replay-key controls manifest design preserve traceable, controlled execution surfaces for enterprise-grade validation. That platform leadership converts into commercial outcomes, with IP-led revenue growth of $22M and productized platform adoption expanding enterprise reach and team scale. This leadership positions the platform to extend governed, security-scanned release discipline into deployment-blueprint repeatability that will strengthen partner-facing enterprise adoption going forward.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co-developed AI solution patterns for partners, safe AI partner deployment assurance patterns, Enterprise solution negotiation and quota execution, partner cloud vendor joint gtm, Partner-led AI solution framework for alliance</w:t>
      </w:r>
    </w:p>
    <w:p>
      <w:r>
        <w:t xml:space="preserve">AI Platform Leadership: governed multi-agent orchestration control planes, agentic workflow routing across enterprise systems, policy-bound execution architecture for AI agents, SVP Engineering agentic AI platform control-plane architecture</w:t>
      </w:r>
    </w:p>
    <w:p>
      <w:r>
        <w:t xml:space="preserve">Governance, Risk &amp; Compliance: fail-closed runtime control gate design, policy enforcement across agent execution paths,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platform IP commercialization motions, evaluation-ready delivery from prototype to adoption, Enterprise technical pre-sales architecture mapping</w:t>
      </w:r>
    </w:p>
    <w:p>
      <w:r>
        <w:t xml:space="preserve">LLMOps &amp; Reliability: audit-grade telemetry for agentic systems, evaluation gauntlets for behavior assurance, reliability lifecycle for governed AI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engineering operating cadences for adoption, cross-functional delivery governance at scale, organization scale-out for platform operating model,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industrialize a governed agentic AI capability, linking control-plane architecture and an IP-led commercial engine to repeatable enterprise adoption and scalable delivery across diverse, highly regulated client operating environments.</w:t>
      </w:r>
    </w:p>
    <w:p>
      <w:r>
        <w:t xml:space="preserve">• Architected a governed policy-gated agent execution surface for governed enterprise AI workflows, combining L0 route-policy dispatch, multi-agent orchestration contracts, and human override escalation paths for regulated deployments.</w:t>
      </w:r>
    </w:p>
    <w:p>
      <w:r>
        <w:t xml:space="preserve">• Built CFO-aligned enterprise adoption motions tied to reusable AI platform commercialization, pairing enterprise workflow adoption with usage-based subscription forecasting to sustain renewal growth.</w:t>
      </w:r>
    </w:p>
    <w:p>
      <w:r>
        <w:t xml:space="preserve">• Delivered audit-grade runtime observability coverage for regulated AI workflows by embedding context engineering and runtime resilience controls across evaluation gates and rollback pathways.</w:t>
      </w:r>
    </w:p>
    <w:p>
      <w:r>
        <w:t xml:space="preserve">• Standardized the AI systems lifecycle to compress deployment from six months to three weeks, applying managed workflow orchestration and replayable runtime design across intake, validation, and monitoring stages.</w:t>
      </w:r>
    </w:p>
    <w:p>
      <w:r>
        <w:t xml:space="preserve">• Established high-availability distributed service patterns for enterprise AI platforms, integrating Databricks Lakehouse pipelines with dense sparse exact retrieval design and provider egress governance.</w:t>
      </w:r>
    </w:p>
    <w:p>
      <w:r>
        <w:t xml:space="preserve">• Scaled the engineering team from 8 to 28 while advancing agentic platform productization and an operating model for agentic AI that converted delivery into reusable commercial IP.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Led technical discovery and solution mapping for enterprise financial-services pursuits</w:t>
      </w:r>
    </w:p>
    <w:p>
      <w:r>
        <w:t xml:space="preserve">• Owned quota-aligned solution leadership across enterprise pursuits and client portfolio expansion motions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>
      <w:r>
        <w:t xml:space="preserve">• Led AWS modernization execution for monolithic policy administration and insurance platform workloads.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• 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