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Reliability Governance | Alliance Co-Sell Motions | Enterprise Solutions Leadership</w:t>
      </w:r>
    </w:p>
    <w:p/>
    <w:p>
      <w:pPr>
        <w:pStyle w:val="Heading1"/>
      </w:pPr>
      <w:r>
        <w:t xml:space="preserve">EXECUTIVE SUMMARY</w:t>
      </w:r>
    </w:p>
    <w:p>
      <w:r>
        <w:t xml:space="preserve">Engineering executive leading regulated modernization, governed agentic AI platform architecture, and IP-led growth through disciplined operating models. From that leadership mandate, designs control-plane architecture that gives agentic AI execution clear policy boundaries and traceable runtime evidence. Software dependency graph intelligence enables accelerated legacy-system analysis, exposes architecture dependency chains, and improves transformation visibility across enterprise complexity. In parallel, embeds release automation and security scanning into regulated modernization delivery paths, reinforcing dependable, secure movement from development through release. The same platform discipline pairs human override and escalation paths with runtime proof-bundle lineage, while platform productization generated $22M in IP-led revenue. It can carry this governed architecture and release resilience into broader platform IP growth, preserving control as operating scope expands.</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make agentic AI a repeatable enterprise capability, uniting control-plane architecture, lifecycle discipline, distributed infrastructure and commercial operating design so regulated clients could move from tailored engagements toward durable, IP-led platform services and partner-enabled adoption.</w:t>
      </w:r>
    </w:p>
    <w:p>
      <w:r>
        <w:t xml:space="preserve">• Established a policy-gated agent execution surface for governed enterprise AI workflows by setting control-plane architecture for deterministic routing and multi-agent orchestration.</w:t>
      </w:r>
    </w:p>
    <w:p>
      <w:r>
        <w:t xml:space="preserve">• Advanced enterprise AI platform adoption through CFO-aligned adoption motions, connecting reusable workflow capabilities with commercialization and usage-based forecasting.</w:t>
      </w:r>
    </w:p>
    <w:p>
      <w:r>
        <w:t xml:space="preserve">• Strengthened production trust with audit-grade observability for regulated AI workflows through evaluation gates, telemetry, and rollback controls.</w:t>
      </w:r>
    </w:p>
    <w:p>
      <w:r>
        <w:t xml:space="preserve">• Accelerated the AI systems lifecycle from six months to three weeks by standardizing managed workflow orchestration from intake through production monitoring.</w:t>
      </w:r>
    </w:p>
    <w:p>
      <w:r>
        <w:t xml:space="preserve">• Built high-availability distributed service patterns for enterprise AI platforms across AWS and Databricks Lakehouse data paths, vector services, and parallel decision workflows.</w:t>
      </w:r>
    </w:p>
    <w:p>
      <w:r>
        <w:t xml:space="preserve">• Scaled the engineering team from 8 to 28 while commercializing reusable AI platform capability through a productized operating model.</w:t>
      </w:r>
    </w:p>
    <w:p/>
    <w:p>
      <w:r>
        <w:t xml:space="preserve">IBM — Partner</w:t>
      </w:r>
    </w:p>
    <w:p>
      <w:r>
        <w:t xml:space="preserve">Edgewater, NJ | Apr 2017 – Oct 2022</w:t>
      </w:r>
    </w:p>
    <w:p>
      <w:r>
        <w:t xml:space="preserve">Championed AWS alliance architecture at IBM, establishing a disciplined discovery-to-executive-alignment practice that made regulated modernization pursuits more repeatable, connected partner-led solutioning to buyer priorities, and strengthened the path from technical validation to executive deal support.</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