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Runtime Telemetry Governance | Enterprise Solution Leadership | Alliance Co-Sell Motions</w:t>
      </w:r>
    </w:p>
    <w:p/>
    <w:p>
      <w:pPr>
        <w:pStyle w:val="Heading1"/>
      </w:pPr>
      <w:r>
        <w:t xml:space="preserve">EXECUTIVE SUMMARY</w:t>
      </w:r>
    </w:p>
    <w:p>
      <w:r>
        <w:t xml:space="preserve">Engineering executive who turns regulated modernization and governed agentic AI architecture into an operating model for reliable, IP-led enterprise growth. From that commercial base, governed agentic AI control-plane architecture gives platform decisions a clear leadership frame for scalable, accountable execution. Software dependency graph intelligence enables accelerated legacy-system analysis, exposes architecture dependency chains, and improves transformation visibility across enterprise complexity. In parallel, human override and escalation paths, runtime proof bundles, and replayable controls manifests place control evidence inside platform operations. Platform productization generated $22M in IP-led revenue while expanding margins and scaling the team, linking architecture stewardship to measurable business value. That foundation will keep platform productization anchored in governed architecture, evidence-based decisions, and disciplined team scale as enterprise AI priorities evolve.</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make governed agentic AI a durable enterprise offering, joining control-plane architecture with an industrialized operating model that turned client-specific delivery into IP-led services, strengthened alliance distribution, and supported trustworthy adoption across regulated organizations.</w:t>
      </w:r>
    </w:p>
    <w:p>
      <w:r>
        <w:t xml:space="preserve">• Established a policy-gated agent execution surface for governed enterprise AI workflows by defining multi-agent orchestration contracts and human override escalation paths.</w:t>
      </w:r>
    </w:p>
    <w:p>
      <w:r>
        <w:t xml:space="preserve">• Advanced CFO-aligned adoption motions tied to reusable AI platform commercialization through enterprise workflow adoption and usage-based forecasting.</w:t>
      </w:r>
    </w:p>
    <w:p>
      <w:r>
        <w:t xml:space="preserve">• Strengthened production governance with audit-grade runtime observability coverage for regulated AI workflows, pairing evaluation gates with telemetry and rollback controls.</w:t>
      </w:r>
    </w:p>
    <w:p>
      <w:r>
        <w:t xml:space="preserve">• Accelerated the AI systems lifecycle from six months to three weeks by standardizing managed workflow orchestration, replayable runtime design, and exit disposition governance.</w:t>
      </w:r>
    </w:p>
    <w:p>
      <w:r>
        <w:t xml:space="preserve">• Architected high-availability distributed service patterns for enterprise AI platforms across cloud data infrastructure, vector services, and parallel decision workflows.</w:t>
      </w:r>
    </w:p>
    <w:p>
      <w:r>
        <w:t xml:space="preserve">• Scaled the engineering team from 8 to 28 while commercializing reusable AI platform capability through agentic platform productization and a disciplined operating model.</w:t>
      </w:r>
    </w:p>
    <w:p/>
    <w:p>
      <w:r>
        <w:t xml:space="preserve">IBM — Partner</w:t>
      </w:r>
    </w:p>
    <w:p>
      <w:r>
        <w:t xml:space="preserve">Edgewater, NJ | Apr 2017 – Oct 2022</w:t>
      </w:r>
    </w:p>
    <w:p>
      <w:r>
        <w:t xml:space="preserve">Championed partner-led solution architecture at IBM for financial-services modernization pursuits, aligning AWS co-sell relationships with executive buyer needs and establishing BI-informed operating discipline that made executive decision support across complex client pursuits more repeatable.</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 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