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SVP Engineering | IP-Led Platform Productization | Runtime Governance Telemetry | Alliance Co-Sell GTM</w:t>
      </w:r>
    </w:p>
    <w:p/>
    <w:p>
      <w:pPr>
        <w:pStyle w:val="Heading1"/>
      </w:pPr>
      <w:r>
        <w:t xml:space="preserve">EXECUTIVE SUMMARY</w:t>
      </w:r>
    </w:p>
    <w:p>
      <w:r>
        <w:t xml:space="preserve">Executive technology leader who leads IBM-AWS alliance co-sell motions for financial-services modernization while shaping platform productization and secure operating models. From that commercial base, agentic platform productization connects architecture decisions with partner-led solution development and measurable enterprise value. Within that partner-platform model, software dependency graph intelligence enables accelerated legacy-system analysis, exposes architecture dependency chains, and improves transformation visibility across enterprise complexity. Led IBM-AWS alliance co-sell motions for financial-services modernization opportunities. That operating discipline also generated $22M in IP-led revenue while supporting margin expansion and team scale through platform leadership. The combined foundation enables future applied-AI architecture decisions to remain commercially grounded, security-conscious, and executable across partner ecosystems.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co-developed AI solution patterns for partners, AWS alliance joint GTM execution</w:t>
      </w:r>
    </w:p>
    <w:p>
      <w:r>
        <w:t xml:space="preserve">AI Platform Leadership: governed multi-agent orchestration control planes, agentic workflow routing across enterprise systems, policy-bound execution architecture for AI agents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GraphRAG context grounding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Quota-aligned enterprise pursuit solution leadership, AI co-sell bundling with strategic partners</w:t>
      </w:r>
    </w:p>
    <w:p>
      <w:r>
        <w:t xml:space="preserve">LLMOps &amp; Reliability: audit-grade telemetry for agentic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technical discovery operating cadences, Enterprise technical pre-sales solution engineering,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Consulting’s mandate to turn governed agentic AI architecture into an industrialized commercial engine, linking platform direction, reliable enterprise deployment, partner-channel enablement, and productized delivery so regulated clients could adopt reusable IP rather than depend on isolated engagements.</w:t>
      </w:r>
    </w:p>
    <w:p>
      <w:r>
        <w:t xml:space="preserve">• Established a policy-gated agent execution surface for governed enterprise AI workflows by defining deterministic route-policy dispatch, GraphRAG context-pack grounding, and human override escalation paths.</w:t>
      </w:r>
    </w:p>
    <w:p>
      <w:r>
        <w:t xml:space="preserve">• Advanced enterprise AI platform adoption through CFO-aligned adoption motions, connecting workflow value to usage-based forecasting and reusable commercialization patterns.</w:t>
      </w:r>
    </w:p>
    <w:p>
      <w:r>
        <w:t xml:space="preserve">• Strengthened production confidence with audit-grade runtime observability coverage for regulated AI workflows, pairing evaluation gates with telemetry and rollback controls.</w:t>
      </w:r>
    </w:p>
    <w:p>
      <w:r>
        <w:t xml:space="preserve">• Standardized production-readiness gates across the AI solution lifecycle, using managed workflow orchestration and replayable runtime design to move deployments from intake through monitored operation.</w:t>
      </w:r>
    </w:p>
    <w:p>
      <w:r>
        <w:t xml:space="preserve">• Architected high-availability distributed service patterns for enterprise AI platforms, integrating AWS and Databricks Lakehouse data flows with vector services and parallel decision workflows.</w:t>
      </w:r>
    </w:p>
    <w:p>
      <w:r>
        <w:t xml:space="preserve">• Scaled the engineering team from 8 to 28 while commercializing reusable AI platform capability through agentic platform productization and a scalable operating model.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Operationalized IBM’s enterprise solution leadership through AWS-enabled partner motions and decision-grade BI, establishing a disciplined bridge from technical discovery to executive adoption that made complex modernization pursuits more repeatable across regulated client portfolios in practice.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Owned P&amp;L oversight and quota-aligned solution leadership across enterprise pursuits, applying pipeline discipline to client portfolio expansion motions.</w:t>
      </w:r>
    </w:p>
    <w:p>
      <w:r>
        <w:t xml:space="preserve">• Built decision-support data models and BI views that connected modernization programs to executive operating decisions.</w:t>
      </w:r>
    </w:p>
    <w:p>
      <w:r>
        <w:t xml:space="preserve">• Prioritized enterprise pursuits using solution-architecture feasibility reviews, account context, and buyer readiness, connecting technical validation to executive deal support.</w:t>
      </w:r>
    </w:p>
    <w:p>
      <w:r>
        <w:t xml:space="preserve">• Led technical discovery and solution mapping for enterprise financial-services pursuits, aligning architecture choices with executive buying criteria.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Built safety operating-model framing around AWS shared responsibility and insurer-owned controls.</w:t>
      </w:r>
    </w:p>
    <w:p>
      <w:r>
        <w:t xml:space="preserve">• Implemented SOC 2-aligned AWS controls for regulated insurers adopting analytics and ML.</w:t>
      </w:r>
    </w:p>
    <w:p>
      <w:r>
        <w:t xml:space="preserve">• Re-architected insurer underwriting and operational systems for high availability and real-time operations.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