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SVP Engineering | Runtime Reliability Governance | Platform Productization Margin | AI Partnerships Co-Sell</w:t>
      </w:r>
    </w:p>
    <w:p/>
    <w:p>
      <w:pPr>
        <w:pStyle w:val="Heading1"/>
      </w:pPr>
      <w:r>
        <w:t xml:space="preserve">EXECUTIVE SUMMARY</w:t>
      </w:r>
    </w:p>
    <w:p>
      <w:r>
        <w:t xml:space="preserve">Technology executive who leads IBM-AWS alliance co-sell motions for financial-services modernization and platform productization, connecting secure delivery with IP-led revenue outcomes. From that alliance base, financial-services modernization opportunities were shaped through partner collaboration. Within that partner-platform model, software dependency graph intelligence enables accelerated legacy-system analysis, exposes architecture dependency chains, and improves transformation visibility across enterprise complexity. In parallel, platform productization produced $22M in IP-led revenue and margin expansion, while team scale reinforced the platform operating model. That operating model reinforced secure delivery through regulated modernization paths through operating discipline. Future partner-led platform decisions can draw on this operating model to connect secure modernization with IP-led revenue growth across alliance ecosystems.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Cloud &amp; Partner Ecosystems: partner-ready applied AI reference architectures, co-developed AI solution patterns for partners, AWS alliance joint architecture and co-sell leadership</w:t>
      </w:r>
    </w:p>
    <w:p>
      <w:r>
        <w:t xml:space="preserve">AI Platform Leadership: governed multi-agent orchestration control planes, agentic workflow routing across enterprise systems, policy-bound execution architecture for AI agents</w:t>
      </w:r>
    </w:p>
    <w:p>
      <w:r>
        <w:t xml:space="preserve">Governance, Risk &amp; Compliance: fail-closed runtime control gate design, policy enforcement across agent execution paths, Regulated DevSecOps release governance pipelines</w:t>
      </w:r>
    </w:p>
    <w:p>
      <w:r>
        <w:t xml:space="preserve">Technology Strategy &amp; Innovation: GraphRAG context grounding for enterprise workflows, dense-sparse retrieval with relationship-aware ranking, authority-ordered prompt context assembly pipelines</w:t>
      </w:r>
    </w:p>
    <w:p>
      <w:r>
        <w:t xml:space="preserve">Commercial &amp; Operating Impact: demoable AI accelerators for executive buyers, Quota-aligned enterprise solution execution for pursuits, AI co-sell bundling with strategic partners</w:t>
      </w:r>
    </w:p>
    <w:p>
      <w:r>
        <w:t xml:space="preserve">LLMOps &amp; Reliability: audit-grade telemetry for agentic systems, evaluation gauntlets for behavior assurance, production reliability lifecycle for agentic workflows</w:t>
      </w:r>
    </w:p>
    <w:p>
      <w:r>
        <w:t xml:space="preserve">Data &amp; Analytics Modernization: cloud-native AI data reference architectures, microservices integration for regulated ecosystems, lakehouse modernization for decision intelligence</w:t>
      </w:r>
    </w:p>
    <w:p>
      <w:r>
        <w:t xml:space="preserve">Engineering &amp; Delivery Leadership: executive-aligned technical discovery operating cadences, Enterprise technical pre-sales solution engineering, Customer success and value-realization operating cadence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Owned Unify Consulting’s mandate to make governed agentic AI a repeatable enterprise business, aligning control-plane architecture, lifecycle discipline, and alliance distribution with a productized operating model that moved regulated clients from bespoke engagements toward durable IP-led platform adoption.</w:t>
      </w:r>
    </w:p>
    <w:p>
      <w:r>
        <w:t xml:space="preserve">• Established a policy-gated agent execution surface for governed enterprise AI workflows through deterministic route-policy dispatch, GraphRAG context-pack grounding, and human override escalation paths.</w:t>
      </w:r>
    </w:p>
    <w:p>
      <w:r>
        <w:t xml:space="preserve">• Expanded enterprise AI platform adoption through CFO-aligned adoption motions, connecting workflow value to usage-based forecasting and reusable commercialization patterns.</w:t>
      </w:r>
    </w:p>
    <w:p>
      <w:r>
        <w:t xml:space="preserve">• Strengthened production agent reliability with audit-grade observability for regulated AI workflows, using evaluation gates, telemetry, and rollback controls.</w:t>
      </w:r>
    </w:p>
    <w:p>
      <w:r>
        <w:t xml:space="preserve">• Standardized the AI solution lifecycle with production-readiness gates across intake, execution, monitoring, and remediation, enabling repeatable movement from lab to production.</w:t>
      </w:r>
    </w:p>
    <w:p>
      <w:r>
        <w:t xml:space="preserve">• Architected high-availability distributed service patterns for enterprise AI platforms across AWS, Databricks Lakehouse, vector services, and parallel decision workflows.</w:t>
      </w:r>
    </w:p>
    <w:p>
      <w:r>
        <w:t xml:space="preserve">• Scaled the engineering team from 8 to 28 while commercializing reusable AI platform capability through agentic platform productization and a scalable operating model.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Championed AWS alliance strategy and solution architecture at IBM, establishing BI-informed executive operating discipline that connected modernization programs to portfolio decisions and strengthened leadership visibility across complex financial-services client portfolios.</w:t>
      </w:r>
    </w:p>
    <w:p>
      <w:r>
        <w:t xml:space="preserve">• Led IBM-AWS alliance co-sell motions for financial-services modernization opportunities, delivering 20% joint revenue growth.</w:t>
      </w:r>
    </w:p>
    <w:p>
      <w:r>
        <w:t xml:space="preserve">• Owned P&amp;L oversight and quota-aligned solution leadership across enterprise pursuits, applying pipeline discipline to client portfolio expansion motions.</w:t>
      </w:r>
    </w:p>
    <w:p>
      <w:r>
        <w:t xml:space="preserve">• Built decision-support data models and BI views that connected modernization programs to executive operating decisions.</w:t>
      </w:r>
    </w:p>
    <w:p>
      <w:r>
        <w:t xml:space="preserve">• Prioritized enterprise pursuits using solution-architecture feasibility reviews, account context, and buyer readiness, connecting technical validation to executive deal support.</w:t>
      </w:r>
    </w:p>
    <w:p>
      <w:r>
        <w:t xml:space="preserve">• Led technical discovery and solution mapping for enterprise financial-services pursuits, aligning architecture choices with executive buying criteria.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Built safety operating-model framing around AWS shared responsibility and insurer-owned controls.</w:t>
      </w:r>
    </w:p>
    <w:p>
      <w:r>
        <w:t xml:space="preserve">• Implemented SOC 2-aligned AWS controls for regulated insurers adopting analytics and ML.</w:t>
      </w:r>
    </w:p>
    <w:p>
      <w:r>
        <w:t xml:space="preserve">• Re-architected insurer underwriting and operational systems for high availability and real-time operations.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Led quantitative derivatives, variable-annuity hedging, and insurance-capital work using exotic pricing, liability Greeks, higher-order stress testing, and hedge design.</w:t>
      </w:r>
    </w:p>
    <w:p>
      <w:r>
        <w:t xml:space="preserve">• Led CCAR-era capital, liquidity, stress testing, and model-validation work by structuring traceable scenarios, challenger variants, model-risk remediation, and governance evidence for regulated financial institutions.</w:t>
      </w:r>
    </w:p>
    <w:p>
      <w:r>
        <w:t xml:space="preserve">• Architected ERM operating models and BCBS 239-aligned risk-data aggregation by defining three-lines-of-defense accountability, metadata standards, and auditable risk metrics.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As a Fellow of the Society of Actuaries (FSA), priced exotic derivatives and structured multi-Greek hedging strategies, built stochastic capital models, and supported HPC-based valuation frameworks for scenario testing and capital adequacy — the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