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[NOT COMPLETED: executive_summary — missing_or_empty_executive_summary]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partner-ready applied AI reference architectures, co-developed AI solution patterns for partners, AWS alliance joint architecture leadership</w:t>
      </w:r>
    </w:p>
    <w:p>
      <w:r>
        <w:t xml:space="preserve">AI Platform Leadership: governed multi-agent orchestration control planes, agentic workflow routing across enterprise systems, policy-bound execution architecture for AI agents, SVP Engineering agentic AI platform control-plane architecture</w:t>
      </w:r>
    </w:p>
    <w:p>
      <w:r>
        <w:t xml:space="preserve">Governance, Risk &amp; Compliance: fail-closed runtime control gate design, policy enforcement across agent execution paths, Regulated DevSecOps release governance pipelines</w:t>
      </w:r>
    </w:p>
    <w:p>
      <w:r>
        <w:t xml:space="preserve">Technology Strategy &amp; Innovation: relationship-grounded context retrieval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Enterprise pursuit execution across portfolio expansion motions, AI co-sell bundling with strategic partners</w:t>
      </w:r>
    </w:p>
    <w:p>
      <w:r>
        <w:t xml:space="preserve">LLMOps &amp; Reliability: audit-ready agent reliability evidence for governed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technical discovery operating cadences, Buyer-specific solution mapping for enterprise pursuits, Customer success and value-realization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• Established a policy-gated agent execution surface for governed enterprise AI workflows through deterministic route-policy dispatch, GraphRAG context-pack grounding, and human override escalation paths.</w:t>
      </w:r>
    </w:p>
    <w:p>
      <w:r>
        <w:t xml:space="preserve">• Advanced enterprise AI platform adoption through CFO-aligned adoption motions, linking reusable workflow capabilities with usage-based forecasting and customer deal support.</w:t>
      </w:r>
    </w:p>
    <w:p>
      <w:r>
        <w:t xml:space="preserve">• Strengthened production reliability with audit-grade observability for regulated AI workflows, combining evaluation gates, runtime telemetry, and rollback controls.</w:t>
      </w:r>
    </w:p>
    <w:p>
      <w:r>
        <w:t xml:space="preserve">• Standardized the AI solution lifecycle with production-readiness gates across intake, execution, monitoring, and remediation, enabling managed workflow orchestration and replayable runtime design.</w:t>
      </w:r>
    </w:p>
    <w:p>
      <w:r>
        <w:t xml:space="preserve">• Built high-availability distributed service patterns for enterprise AI platforms by integrating AWS and Databricks Lakehouse data pipelines with vector services and resilient execution layers.</w:t>
      </w:r>
    </w:p>
    <w:p>
      <w:r>
        <w:t xml:space="preserve">• Scaled the engineering team from 8 to 28 while commercializing reusable AI platform capability through agentic platform productization and a repeatable operating model.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[NOT COMPLETED: ibm — ibm_bullets and ibm_narrative did not produce finalized content]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[NOT COMPLETED: insurtech — generated narrative and bullets were not produced in this run]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[NOT COMPLETED: ey — generated narrative and bullets were not produced in this run]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Priced exotic derivatives and structured multi-Greek hedging strategies, built stochastic capital models, and supported HPC-based valuation frameworks for scenario testing and capital adequacy —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