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[NOT COMPLETED: headline — missing_or_empty_headline]</w:t>
      </w:r>
    </w:p>
    <w:p/>
    <w:p>
      <w:pPr>
        <w:pStyle w:val="Heading1"/>
      </w:pPr>
      <w:r>
        <w:t xml:space="preserve">EXECUTIVE SUMMARY</w:t>
      </w:r>
    </w:p>
    <w:p>
      <w:r>
        <w:t xml:space="preserve">[NOT COMPLETED: executive_summary — missing_or_empty_executive_summary]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Cloud &amp; Partner Ecosystems: partner-ready applied AI reference architectures, co-developed AI solution patterns for partners, AWS alliance joint architecture leadership</w:t>
      </w:r>
    </w:p>
    <w:p>
      <w:r>
        <w:t xml:space="preserve">AI Platform Leadership: governed multi-agent orchestration control planes, agentic workflow routing across enterprise systems, GraphRAG context pack grounding for governed execution</w:t>
      </w:r>
    </w:p>
    <w:p>
      <w:r>
        <w:t xml:space="preserve">Governance, Risk &amp; Compliance: fail-closed runtime control gate design, policy enforcement across agent execution paths, Regulated DevSecOps release governance pipelines</w:t>
      </w:r>
    </w:p>
    <w:p>
      <w:r>
        <w:t xml:space="preserve">Technology Strategy &amp; Innovation: relationship-grounded context retrieval for enterprise workflows, dense-sparse retrieval with relationship-aware ranking, authority-ordered prompt context assembly pipelines</w:t>
      </w:r>
    </w:p>
    <w:p>
      <w:r>
        <w:t xml:space="preserve">Commercial &amp; Operating Impact: demoable AI accelerators for executive buyers, Enterprise pursuit execution across portfolio expansion motions, AI co-sell bundling with strategic partners</w:t>
      </w:r>
    </w:p>
    <w:p>
      <w:r>
        <w:t xml:space="preserve">LLMOps &amp; Reliability: audit-ready agent reliability evidence for governed systems, evaluation gauntlets for behavior assurance, production reliability lifecycle for agentic workflows</w:t>
      </w:r>
    </w:p>
    <w:p>
      <w:r>
        <w:t xml:space="preserve">Data &amp; Analytics Modernization: cloud-native AI data reference architectures, microservices integration for regulated ecosystems, lakehouse modernization for decision intelligence</w:t>
      </w:r>
    </w:p>
    <w:p>
      <w:r>
        <w:t xml:space="preserve">Engineering &amp; Delivery Leadership: executive-aligned technical discovery operating cadences, Buyer-specific solution mapping for enterprise pursuits, Customer success and value-realization operating cadence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• Established a policy-gated agent execution surface for governed enterprise AI workflows through deterministic route-policy dispatch, GraphRAG context-pack grounding, and human override escalation paths.</w:t>
      </w:r>
    </w:p>
    <w:p>
      <w:r>
        <w:t xml:space="preserve">• Advanced enterprise AI platform adoption through CFO-aligned adoption motions, connecting workflow value to usage-based forecasting and repeatable commercialization.</w:t>
      </w:r>
    </w:p>
    <w:p>
      <w:r>
        <w:t xml:space="preserve">• Strengthened production reliability with audit-grade observability for regulated AI workflows, combining evaluation gates, telemetry, and rollback controls.</w:t>
      </w:r>
    </w:p>
    <w:p>
      <w:r>
        <w:t xml:space="preserve">• Standardized the AI solution lifecycle with production-readiness gates from intake through monitoring, using managed workflow orchestration and replayable runtime design.</w:t>
      </w:r>
    </w:p>
    <w:p>
      <w:r>
        <w:t xml:space="preserve">• Built high-availability distributed service patterns for enterprise AI platforms across AWS, Databricks Lakehouse, vector services, and parallel decision workflows.</w:t>
      </w:r>
    </w:p>
    <w:p>
      <w:r>
        <w:t xml:space="preserve">• Scaled the engineering team from 8 to 28 while commercializing reusable AI platform capability through agentic platform productization and a scalable operating model.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[NOT COMPLETED: ibm — ibm_bullets and ibm_narrative did not produce finalized content]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[NOT COMPLETED: insurtech — generated narrative and bullets were not produced in this run]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[NOT COMPLETED: ey — generated narrative and bullets were not produced in this run]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Priced exotic derivatives and structured multi-Greek hedging strategies, built stochastic capital models, and supported HPC-based valuation frameworks for scenario testing and capital adequacy —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