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Channel Alliance GTM | Runtime Governance Telemetry | Platform Productization Revenue</w:t>
      </w:r>
    </w:p>
    <w:p/>
    <w:p>
      <w:pPr>
        <w:pStyle w:val="Heading1"/>
      </w:pPr>
      <w:r>
        <w:t xml:space="preserve">EXECUTIVE SUMMARY</w:t>
      </w:r>
    </w:p>
    <w:p>
      <w:r>
        <w:t xml:space="preserve">Executive technology and partnerships leader who turns alliance architecture into governed operating models, pairing IBM-AWS co-sell leadership with platform productization. From that commercial base, aligns partner GTM execution with joint solution development to create repeatable modernization paths from opportunity shaping to delivery. Within that partner-platform model, software dependency graph intelligence enables accelerated legacy-system analysis, exposes architecture dependency chains, and improves transformation visibility across enterprise complexity. In parallel, embeds release automation and security scanning into regulated modernization delivery paths, reinforcing release resilience where control matters. That operating foundation also links platform productization to $22M in IP-led revenue and margin expansion, showing how technical assets can carry commercial weight. Future partner architecture can unite alliance orchestration, secure delivery, and IP-led growth into scalable solutions with operating control.</w:t>
      </w:r>
    </w:p>
    <w:p/>
    <w:p>
      <w:pPr>
        <w:pStyle w:val="Heading1"/>
      </w:pPr>
      <w:r>
        <w:t xml:space="preserve">ENGINEERING &amp; PLATFORM COMPETENCIES</w:t>
      </w:r>
    </w:p>
    <w:p>
      <w:r>
        <w:t xml:space="preserve">Cloud &amp; Partner Ecosystems: partner-ready applied AI reference architectures, co-developed AI solution patterns for partners, AWS alliance joint architecture leadership</w:t>
      </w:r>
    </w:p>
    <w:p>
      <w:r>
        <w:t xml:space="preserve">AI Platform Leadership: governed multi-agent orchestration control planes, agentic workflow routing across enterprise systems, GraphRAG context pack grounding for governed execution</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demoable AI accelerators for executive buyers, Enterprise pursuit execution across portfolio expansion motions,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Buyer-specific solution mapping for enterprise pursuits, Customer success and value-realization operating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The SVP Engineering mandate at Unify Consulting connected agentic AI control-plane architecture, lifecycle discipline, and alliance distribution into a repeatable commercial engine, turning specialized engagements into trusted, scalable IP-led services for regulated enterprises and durable adoption.</w:t>
      </w:r>
    </w:p>
    <w:p>
      <w:r>
        <w:t xml:space="preserve">• Established a policy-gated agent execution surface for governed enterprise AI workflows through deterministic route-policy dispatch, GraphRAG context-pack grounding, and human override escalation paths.</w:t>
      </w:r>
    </w:p>
    <w:p>
      <w:r>
        <w:t xml:space="preserve">• Advanced enterprise AI platform adoption through CFO-aligned adoption motions, connecting reusable workflow capabilities with customer value realization and usage-based forecasting.</w:t>
      </w:r>
    </w:p>
    <w:p>
      <w:r>
        <w:t xml:space="preserve">• Strengthened production trust with audit-grade runtime observability coverage for regulated AI workflows, supported by evaluation gates, telemetry, and rollback controls.</w:t>
      </w:r>
    </w:p>
    <w:p>
      <w:r>
        <w:t xml:space="preserve">• Standardized the AI solution lifecycle with a production-readiness gate set, using managed workflow orchestration and replayable runtime design to move deployments from intake through monitoring.</w:t>
      </w:r>
    </w:p>
    <w:p>
      <w:r>
        <w:t xml:space="preserve">• Built high-availability distributed service patterns for enterprise AI platforms across AWS, Databricks Lakehouse, vector services, and parallel decision workflows.</w:t>
      </w:r>
    </w:p>
    <w:p>
      <w:r>
        <w:t xml:space="preserve">• Scaled the engineering team from 8 to 28 while commercializing reusable AI platform capability through agentic platform productization and a repeatable operating model.</w:t>
      </w:r>
    </w:p>
    <w:p/>
    <w:p>
      <w:r>
        <w:t xml:space="preserve">IBM — Partner</w:t>
      </w:r>
    </w:p>
    <w:p>
      <w:r>
        <w:t xml:space="preserve">Edgewater, NJ | Apr 2017 – Oct 2022</w:t>
      </w:r>
    </w:p>
    <w:p>
      <w:r>
        <w:t xml:space="preserve">Championed AWS alliance solutioning for enterprise financial-services pursuits at IBM, establishing disciplined pipeline and BI decision support that made executive decisions more consistent, transparent, and scalable across complex client portfolios.</w:t>
      </w:r>
    </w:p>
    <w:p>
      <w:r>
        <w:t xml:space="preserve">• Led IBM-AWS alliance co-sell motions for financial-services modernization opportunities, delivering 20% joint revenue growth.</w:t>
      </w:r>
    </w:p>
    <w:p>
      <w:r>
        <w:t xml:space="preserve">• Owned P&amp;L oversight and quota-aligned solution leadership across enterprise pursuits, applying pipeline discipline to client portfolio expansion motions.</w:t>
      </w:r>
    </w:p>
    <w:p>
      <w:r>
        <w:t xml:space="preserve">• Built decision-support data models and BI views that connected modernization programs to executive operating decisions.</w:t>
      </w:r>
    </w:p>
    <w:p>
      <w:r>
        <w:t xml:space="preserve">• Prioritized enterprise pursuits using solution-architecture feasibility reviews, account context, and buyer readiness, connecting technical validation to executive deal support.</w:t>
      </w:r>
    </w:p>
    <w:p>
      <w:r>
        <w:t xml:space="preserve">• Led technical discovery and solution mapping for enterprise financial-services pursuits, aligning architecture choices with executive buying criteria.</w:t>
      </w:r>
    </w:p>
    <w:p/>
    <w:p>
      <w:r>
        <w:t xml:space="preserve">InsurTech Cloud Solutions — Chief Technology Officer</w:t>
      </w:r>
    </w:p>
    <w:p>
      <w:r>
        <w:t xml:space="preserve">New York, NY | Apr 2014 – Mar 2017</w:t>
      </w:r>
    </w:p>
    <w:p>
      <w:r>
        <w:t xml:space="preserve">Built safety operating-model framing around AWS shared responsibility and insurer-owned controls.</w:t>
      </w:r>
    </w:p>
    <w:p>
      <w:r>
        <w:t xml:space="preserve">• Implemented SOC 2-aligned AWS controls for regulated insurers adopting analytics and ML.</w:t>
      </w:r>
    </w:p>
    <w:p>
      <w:r>
        <w:t xml:space="preserve">• Re-architected insurer underwriting and operational systems for high availability and real-time operations.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