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Runtime Reliability Governance | Alliance Co-Sell Motions | Quota-Aligned Enterprise Pursuits</w:t>
      </w:r>
    </w:p>
    <w:p/>
    <w:p>
      <w:pPr>
        <w:pStyle w:val="Heading1"/>
      </w:pPr>
      <w:r>
        <w:t xml:space="preserve">EXECUTIVE SUMMARY</w:t>
      </w:r>
    </w:p>
    <w:p>
      <w:r>
        <w:t xml:space="preserve">Engineering leadership centers on governed agentic AI platform architecture and regulated release resilience, establishing an operating model where control and delivery decisions reinforce enterprise value. From that operating mandate, the platform architecture sets a coherent control-plane direction for agentic AI, pairing policy-gated execution with human override paths. Software dependency graph intelligence enables accelerated legacy-system analysis, exposes architecture dependency chains, and improves transformation visibility across enterprise complexity. In parallel, embedded release automation and security scanning strengthen governance across regulated modernization delivery paths while preserving release resilience. The same platform discipline supports quantitative business decisions through platform productization, generating $22M in IP-led revenue alongside margin expansion and team scale. That integrated foundation can guide future platform decisions toward controlled execution and sustained IP-led growth without separating responsible operation from technical ambition.</w:t>
      </w:r>
    </w:p>
    <w:p/>
    <w:p>
      <w:pPr>
        <w:pStyle w:val="Heading1"/>
      </w:pPr>
      <w:r>
        <w:t xml:space="preserve">ENGINEERING &amp; PLATFORM COMPETENCIES</w:t>
      </w:r>
    </w:p>
    <w:p>
      <w:r>
        <w:t xml:space="preserve">Cloud &amp; Partner Ecosystems: partner-ready applied AI reference architectures, co-developed AI solution patterns for partners,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demoable AI accelerators for executive buyers, Enterprise pursuit execution across portfolio expansion motions,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Buyer-specific solution mapping for enterprise pursuits, Customer success and value-realization operating cadence, Partner customer deal support operating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aligning control-plane architecture, lifecycle discipline, and a commercial operating model so regulated enterprise clients could adopt reusable platform services rather than receive isolated bespoke solutions.</w:t>
      </w:r>
    </w:p>
    <w:p>
      <w:r>
        <w:t xml:space="preserve">• Established a policy-gated agent execution surface for governed enterprise AI workflows through deterministic route-policy dispatch and multi-agent orchestration contracts.</w:t>
      </w:r>
    </w:p>
    <w:p>
      <w:r>
        <w:t xml:space="preserve">• Expanded enterprise AI platform adoption through CFO-aligned adoption motions, reusable workflow patterns, and usage-based forecasting that connected technical delivery to commercial priorities.</w:t>
      </w:r>
    </w:p>
    <w:p>
      <w:r>
        <w:t xml:space="preserve">• Strengthened production trust with audit-grade observability for regulated AI workflows, combining evaluation gates, telemetry, and rollback controls.</w:t>
      </w:r>
    </w:p>
    <w:p>
      <w:r>
        <w:t xml:space="preserve">• Accelerated the AI systems lifecycle from six months to three weeks by standardizing managed workflow orchestration, replayable runtime design, and exit disposition governance.</w:t>
      </w:r>
    </w:p>
    <w:p>
      <w:r>
        <w:t xml:space="preserve">• Built high-availability distributed service patterns for enterprise AI platforms across AWS and Databricks Lakehouse environments, supporting vector services and parallel decision workflows.</w:t>
      </w:r>
    </w:p>
    <w:p>
      <w:r>
        <w:t xml:space="preserve">• Scaled the engineering team from 8 to 28 while commercializing reusable AI platform capability through agentic platform productization and a scalable operating model.</w:t>
      </w:r>
    </w:p>
    <w:p/>
    <w:p>
      <w:r>
        <w:t xml:space="preserve">IBM — Partner</w:t>
      </w:r>
    </w:p>
    <w:p>
      <w:r>
        <w:t xml:space="preserve">Edgewater, NJ | Apr 2017 – Oct 2022</w:t>
      </w:r>
    </w:p>
    <w:p>
      <w:r>
        <w:t xml:space="preserve">Operationalized decision-grade BI for enterprise pursuits at IBM, establishing solution architecture discipline that clarified repeatable paths from technical discovery to executive action.</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