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SVP Engineering | Runtime Telemetry Governance | Quota-Aligned Solution Leadership | Alliance Co-Sell Motions</w:t>
      </w:r>
    </w:p>
    <w:p/>
    <w:p>
      <w:pPr>
        <w:pStyle w:val="Heading1"/>
      </w:pPr>
      <w:r>
        <w:t xml:space="preserve">EXECUTIVE SUMMARY</w:t>
      </w:r>
    </w:p>
    <w:p>
      <w:r>
        <w:t xml:space="preserve">Engineering executive who leads secure modernization and governed agentic platform architecture, connecting delivery controls with platform productization and IP-led growth. From that operating base, governed agentic AI architecture establishes a coherent control plane for disciplined execution and escalation. Software dependency graph intelligence enables accelerated legacy-system analysis, exposes architecture dependency chains, and improves transformation visibility across enterprise complexity. In parallel, runtime proof-bundle lineage, human override escalation paths, and replay-key controls manifests preserve traceable evidence across governed agent execution. That commercial operating model generated $22M in IP-led revenue while expanding margins and scaling platform productization. This foundation guides governed agentic platform growth, preserving evidence and operating discipline as capabilities scale.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partner-ready applied AI reference architectures, Buyer-specific solution mapping for enterprise pursuits, Partner AI solution architecture and co-sell execution</w:t>
      </w:r>
    </w:p>
    <w:p>
      <w:r>
        <w:t xml:space="preserve">AI Platform Leadership: governed multi-agent orchestration control planes, agentic workflow routing across enterprise systems, Agentic platform route-policy dispatch architecture</w:t>
      </w:r>
    </w:p>
    <w:p>
      <w:r>
        <w:t xml:space="preserve">Governance, Risk &amp; Compliance: fail-closed runtime control gate design, policy enforcement across agent execution paths, Regulated DevSecOps release governance pipelines</w:t>
      </w:r>
    </w:p>
    <w:p>
      <w:r>
        <w:t xml:space="preserve">Technology Strategy &amp; Innovation: relationship-grounded context retrieval for enterprise workflows, dense-sparse retrieval with relationship-aware ranking, authority-ordered prompt context assembly pipelines</w:t>
      </w:r>
    </w:p>
    <w:p>
      <w:r>
        <w:t xml:space="preserve">Commercial &amp; Operating Impact: Enterprise pursuit execution across portfolio expansion motions, Partner value-realization operating cadence and deal support, AI co-sell bundling with strategic partners</w:t>
      </w:r>
    </w:p>
    <w:p>
      <w:r>
        <w:t xml:space="preserve">LLMOps &amp; Reliability: audit-ready agent reliability evidence for governed systems, evaluation gauntlets for behavior assurance, production reliability lifecycle for agentic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executive-aligned technical discovery operating cadences, cross-functional enterprise solution architecture delivery governance, Presales-to-delivery customer success operating handoff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Owned Unify Consulting’s mandate to industrialize agentic AI for regulated enterprise clients, aligning control-plane architecture, lifecycle discipline and a commercial engine that transformed engineering investment into productized delivery, reusable IP scalable platform services and sustained adoption.</w:t>
      </w:r>
    </w:p>
    <w:p>
      <w:r>
        <w:t xml:space="preserve">• Established a policy-gated agent execution surface for governed enterprise AI workflows by setting control-plane architecture across multi-agent orchestration and deterministic route-policy dispatch.</w:t>
      </w:r>
    </w:p>
    <w:p>
      <w:r>
        <w:t xml:space="preserve">• Advanced enterprise AI platform adoption through CFO-aligned adoption motions, connecting workflow value to reusable commercialization and usage-based forecasting.</w:t>
      </w:r>
    </w:p>
    <w:p>
      <w:r>
        <w:t xml:space="preserve">• Strengthened production reliability with audit-grade runtime observability coverage for regulated AI workflows through evaluation gates, telemetry, and rollback controls.</w:t>
      </w:r>
    </w:p>
    <w:p>
      <w:r>
        <w:t xml:space="preserve">• Accelerated the AI systems lifecycle from six months to three weeks by standardizing managed workflow orchestration, replayable runtime design, and exit disposition governance.</w:t>
      </w:r>
    </w:p>
    <w:p>
      <w:r>
        <w:t xml:space="preserve">• Built high-availability distributed service patterns for enterprise AI platforms across AWS and Databricks Lakehouse data paths feeding vector services.</w:t>
      </w:r>
    </w:p>
    <w:p>
      <w:r>
        <w:t xml:space="preserve">• Scaled the engineering team from 8 to 28 while commercializing reusable AI platform capability through agentic platform productization and a disciplined operating model.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Championed solution architecture at IBM through AWS alliance motions and executive discovery for enterprise pursuits, establishing BI-backed operating visibility that made modernization decisions more repeatable.</w:t>
      </w:r>
    </w:p>
    <w:p>
      <w:r>
        <w:t xml:space="preserve">• Led IBM-AWS alliance co-sell motions for financial-services modernization opportunities, delivering 20% joint revenue growth.</w:t>
      </w:r>
    </w:p>
    <w:p>
      <w:r>
        <w:t xml:space="preserve">• Built decision-support data models and BI views that connected modernization programs to executive operating decisions.</w:t>
      </w:r>
    </w:p>
    <w:p>
      <w:r>
        <w:t xml:space="preserve">• Led technical discovery and solution architecture mapping for enterprise financial-services pursuits.</w:t>
      </w:r>
    </w:p>
    <w:p>
      <w:r>
        <w:t xml:space="preserve">• Prioritized enterprise pursuits using solution-architecture feasibility reviews, account context, and buyer readiness, connecting technical validation to executive deal support.</w:t>
      </w:r>
    </w:p>
    <w:p>
      <w:r>
        <w:t xml:space="preserve">• Architected industry-specific AI, analytics, and cloud modernization reference architectures for financial-services decision support.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Led AWS modernization execution for monolithic policy administration and insurance platform workloads.</w:t>
      </w:r>
    </w:p>
    <w:p>
      <w:r>
        <w:t xml:space="preserve">• Implemented SOC 2-aligned AWS controls for regulated insurers adopting analytics and ML.</w:t>
      </w:r>
    </w:p>
    <w:p>
      <w:r>
        <w:t xml:space="preserve">• Built safety operating-model framing around AWS shared responsibility and insurer-owned controls.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Led quantitative derivatives, variable-annuity hedging, and insurance-capital work using exotic pricing, liability Greeks, higher-order stress testing, and hedge design.</w:t>
      </w:r>
    </w:p>
    <w:p>
      <w:r>
        <w:t xml:space="preserve">• Led CCAR-era capital, liquidity, stress testing, and model-validation work by structuring traceable scenarios, challenger variants, model-risk remediation, and governance evidence for regulated financial institutions.</w:t>
      </w:r>
    </w:p>
    <w:p>
      <w:r>
        <w:t xml:space="preserve">• Architected ERM operating models and BCBS 239-aligned risk-data aggregation by defining three-lines-of-defense accountability, metadata standards, and auditable risk metrics.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Priced exotic derivatives and structured multi-Greek hedging strategies, built stochastic capital models, and supported HPC-based valuation frameworks for scenario testing and capital adequacy —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