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Enterprise Portfolio Leadership | Runtime Reliability Governance | Partner Solution Oversight</w:t>
      </w:r>
    </w:p>
    <w:p/>
    <w:p>
      <w:pPr>
        <w:pStyle w:val="Heading1"/>
      </w:pPr>
      <w:r>
        <w:t xml:space="preserve">EXECUTIVE SUMMARY</w:t>
      </w:r>
    </w:p>
    <w:p>
      <w:r>
        <w:t xml:space="preserve">Engineering executive who aligns governed agentic AI platform architecture, regulated release discipline, and platform commercialization into one enterprise operating agenda. Designs and operates the agentic platform control plane, where route-policy dispatch governs how tasks reach sandboxed execution while human override escalation preserves accountable oversight. Against that architectural backdrop, automated release pipelines embed security scanning directly into regulated modernization delivery paths, turning deployment blueprints into a repeatable, governed path from build to production. In parallel, replay-key controls manifests and runtime proof-bundle lineage supply traceable execution evidence, letting stakeholders verify how agentic decisions were made and giving governance teams confidence in the platform's control surface. That operating foundation also underpins platform productization, which converted governed architecture into $22M of IP-led revenue. The same commercialization discipline extends toward scaling partner-facing AI solution delivery, pairing enterprise-grade trust with the speed that regulated adoption of agentic platforms now demands.</w:t>
      </w:r>
    </w:p>
    <w:p/>
    <w:p>
      <w:pPr>
        <w:pStyle w:val="Heading1"/>
      </w:pPr>
      <w:r>
        <w:t xml:space="preserve">ENGINEERING &amp; PLATFORM COMPETENCIES</w:t>
      </w:r>
    </w:p>
    <w:p>
      <w:r>
        <w:t xml:space="preserve">Cloud &amp; Partner Ecosystems: safe AI partner deployment assurance patterns, Quota-aligned enterprise solution execution for pursuits, Partner AI solution architecture and co-sell execution, AI co-sell bundling with strategic partners</w:t>
      </w:r>
    </w:p>
    <w:p>
      <w:r>
        <w:t xml:space="preserve">AI Platform Leadership: governed multi-agent orchestration control planes, policy-bound execution architecture for AI agents, Agentic platform route-policy dispatch architecture</w:t>
      </w:r>
    </w:p>
    <w:p>
      <w:r>
        <w:t xml:space="preserve">Governance, Risk &amp; Compliance: fail-closed runtime control gate design, sandboxed decision workflows with audit trails, Regulated DevSecOps release governance pipelines</w:t>
      </w:r>
    </w:p>
    <w:p>
      <w:r>
        <w:t xml:space="preserve">Technology Strategy &amp; Innovation: GraphRAG context grounding for enterprise workflows, dense-sparse retrieval with relationship-aware ranking, authority-ordered prompt context assembly pipelines</w:t>
      </w:r>
    </w:p>
    <w:p>
      <w:r>
        <w:t xml:space="preserve">Commercial &amp; Operating Impact: demoable AI accelerators for executive buyers, reusable AI platform packaging for adoption, production runtime readiness from prototype to adoption</w:t>
      </w:r>
    </w:p>
    <w:p>
      <w:r>
        <w:t xml:space="preserve">LLMOps &amp; Reliability: audit-grade telemetry for agentic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cross-functional delivery governance at scale, organization scale-out for platform operating model, Enterprise technical pre-sales solution engineering, Customer success and value-realization operating cadence, Partner customer deal support operating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evolution of a governed agentic AI capability into an industrialized commercial engine, aligning control-plane architecture, enterprise deployment, and alliance distribution so regulated clients could adopt reusable IP and scalable platform services.</w:t>
      </w:r>
    </w:p>
    <w:p>
      <w:r>
        <w:t xml:space="preserve">• Architected a governed, policy-gated agent execution surface for enterprise AI workflows, defining L0 route-policy dispatch, multi-agent orchestration contracts, and human override escalation paths for regulated production use.</w:t>
      </w:r>
    </w:p>
    <w:p>
      <w:r>
        <w:t xml:space="preserve">• Built CFO-aligned enterprise adoption motions tied to reusable AI platform commercialization, pairing usage-based forecasting with partner deal support to sustain enterprise-wide adoption.</w:t>
      </w:r>
    </w:p>
    <w:p>
      <w:r>
        <w:t xml:space="preserve">• Delivered audit-grade runtime observability coverage for regulated AI workflows through context engineering and runtime resilience controls spanning evaluation gates and rollback design.</w:t>
      </w:r>
    </w:p>
    <w:p>
      <w:r>
        <w:t xml:space="preserve">• Standardized the AI systems lifecycle from intake through production monitoring, compressing lab-to-production cycle time from six months to three weeks via managed workflow orchestration.</w:t>
      </w:r>
    </w:p>
    <w:p>
      <w:r>
        <w:t xml:space="preserve">• Engineered high-availability distributed service patterns for enterprise AI platforms across AWS and Databricks Lakehouse data pipelines feeding dense and sparse retrieval services.</w:t>
      </w:r>
    </w:p>
    <w:p>
      <w:r>
        <w:t xml:space="preserve">• Scaled the engineering team from 8 to 28 while converting bespoke client delivery into reusable AI platform IP under a defined operating model for agentic AI commercialization.</w:t>
      </w:r>
    </w:p>
    <w:p/>
    <w:p>
      <w:r>
        <w:t xml:space="preserve">IBM — Partner</w:t>
      </w:r>
    </w:p>
    <w:p>
      <w:r>
        <w:t xml:space="preserve">Edgewater, NJ | Apr 2017 – Oct 2022</w:t>
      </w:r>
    </w:p>
    <w:p>
      <w:r>
        <w:t xml:space="preserve">Operationalized solution architecture and pipeline governance across regulated financial-services pursuits at IBM, using BI decision support to make executive qualification and partner-led enterprise pursuits more consistent across large modernization portfolios.</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Owned quota-aligned solution leadership and pipeline governance across enterprise pursuits and client portfolio expansion motions.</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As a Fellow of the Society of Actuaries (FSA), priced exotic derivatives and structured multi-Greek hedging strategies, built stochastic capital models, and supported HPC-based valuation frameworks for scenario testing and capital adequacy — the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