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SVP Engineering | Runtime Governance Telemetry | Client Portfolio Expansion | Context Engineering Evaluation</w:t>
      </w:r>
    </w:p>
    <w:p/>
    <w:p>
      <w:pPr>
        <w:pStyle w:val="Heading1"/>
      </w:pPr>
      <w:r>
        <w:t xml:space="preserve">EXECUTIVE SUMMARY</w:t>
      </w:r>
    </w:p>
    <w:p>
      <w:r>
        <w:t xml:space="preserve">Engineering executive builds governed agentic AI platform architecture, embedding release resilience and security discipline into delivery paths for regulated modernization programs. The platform's control-plane design coordinates policy-gated agent execution and route-level dispatch decisions into one governed runtime. Complementing that runtime, tool sandbox egress boundaries constrain agent actions so autonomous execution stays within defined policy limits. Dependency graph intelligence enables accelerated legacy-system analysis, strengthening the platform's operating model and productization path toward IP-led revenue growth. In parallel, human override and escalation paths together with runtime proof-bundle lineage sustain auditable, traceable execution across the platform. That operating foundation also generated $22M in IP-led revenue while scaling the platform engineering team, positioning the organization for continued enterprise-scale deployment and productization.</w:t>
      </w:r>
    </w:p>
    <w:p/>
    <w:p>
      <w:pPr>
        <w:pStyle w:val="Heading1"/>
      </w:pPr>
      <w:r>
        <w:t xml:space="preserve">ENGINEERING &amp; PLATFORM COMPETENCIES</w:t>
      </w:r>
    </w:p>
    <w:p>
      <w:r>
        <w:t xml:space="preserve">Cloud &amp; Partner Ecosystems: safe AI partner deployment assurance patterns, Quota-aligned enterprise solution execution for pursuits, Partner AI solution architecture and co-sell execution, AI co-sell bundling with strategic partners</w:t>
      </w:r>
    </w:p>
    <w:p>
      <w:r>
        <w:t xml:space="preserve">AI Platform Leadership: governed multi-agent orchestration control planes, policy-bound execution architecture for AI agents, Agentic platform route-policy dispatch architecture</w:t>
      </w:r>
    </w:p>
    <w:p>
      <w:r>
        <w:t xml:space="preserve">Governance, Risk &amp; Compliance: fail-closed runtime control gate design, sandboxed decision workflows with audit trails, Regulated DevSecOps release governance pipelines</w:t>
      </w:r>
    </w:p>
    <w:p>
      <w:r>
        <w:t xml:space="preserve">Technology Strategy &amp; Innovation: GraphRAG context grounding for enterprise workflows, dense-sparse retrieval with relationship-aware ranking, authority-ordered prompt context assembly pipelines</w:t>
      </w:r>
    </w:p>
    <w:p>
      <w:r>
        <w:t xml:space="preserve">Commercial &amp; Operating Impact: demoable AI accelerators for executive buyers, reusable AI platform packaging for adoption, production runtime readiness from prototype to adoption</w:t>
      </w:r>
    </w:p>
    <w:p>
      <w:r>
        <w:t xml:space="preserve">LLMOps &amp; Reliability: audit-grade telemetry for agentic systems, evaluation gauntlets for behavior assurance, production reliability lifecycle for agentic workflows</w:t>
      </w:r>
    </w:p>
    <w:p>
      <w:r>
        <w:t xml:space="preserve">Data &amp; Analytics Modernization: cloud-native AI data reference architectures, microservices integration for regulated ecosystems, lakehouse modernization for decision intelligence</w:t>
      </w:r>
    </w:p>
    <w:p>
      <w:r>
        <w:t xml:space="preserve">Engineering &amp; Delivery Leadership: cross-functional delivery governance at scale, organization scale-out for platform operating model, Enterprise technical pre-sales solution engineering, Customer success and value-realization operating cadence, Partner customer deal support operating cadence</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Owned Unify Consulting's mandate to industrialize governed agentic AI, aligning control-plane architecture, reusable IP, and alliance distribution into an operating model that moved regulated enterprise adoption from bespoke engagements toward scalable platform services and repeatable delivery.</w:t>
      </w:r>
    </w:p>
    <w:p>
      <w:r>
        <w:t xml:space="preserve">• Architected a policy-gated agent execution surface for governed enterprise AI workflows, defining L0 route-policy dispatch, multi-agent orchestration contracts, and human override escalation paths for regulated financial clients.</w:t>
      </w:r>
    </w:p>
    <w:p>
      <w:r>
        <w:t xml:space="preserve">• Drove CFO-aligned enterprise adoption motions tied to reusable AI platform commercialization, pairing usage-based subscription forecasting with partner-led deal support to expand recurring revenue.</w:t>
      </w:r>
    </w:p>
    <w:p>
      <w:r>
        <w:t xml:space="preserve">• Delivered audit-grade runtime observability coverage for regulated AI workflows through context engineering, evaluation gates, and rollback controls that hardened production reliability.</w:t>
      </w:r>
    </w:p>
    <w:p>
      <w:r>
        <w:t xml:space="preserve">• Standardized the production AI adoption lifecycle with replayable runtime design and exit disposition governance, compressing the lifecycle from six months to three weeks.</w:t>
      </w:r>
    </w:p>
    <w:p>
      <w:r>
        <w:t xml:space="preserve">• Engineered high-availability distributed service patterns for enterprise AI platforms, combining Databricks Lakehouse pipelines with dense sparse exact retrieval design and provider egress governance.</w:t>
      </w:r>
    </w:p>
    <w:p>
      <w:r>
        <w:t xml:space="preserve">• Led AI platform commercialization and operating model design that scaled the engineering team from 8 to 28 while converting bespoke delivery into reusable productized IP.</w:t>
      </w:r>
    </w:p>
    <w:p/>
    <w:p>
      <w:r>
        <w:t xml:space="preserve">IBM — Partner</w:t>
      </w:r>
    </w:p>
    <w:p>
      <w:r>
        <w:t xml:space="preserve">Edgewater, NJ | Apr 2017 – Oct 2022</w:t>
      </w:r>
    </w:p>
    <w:p>
      <w:r>
        <w:t xml:space="preserve">Operationalized partner-led solution architecture for regulated financial-services modernization at IBM by aligning AWS alliance motions with technical discovery, establishing BI-backed executive decision discipline that made enterprise pursuits more repeatable across complex modernization programs.</w:t>
      </w:r>
    </w:p>
    <w:p>
      <w:r>
        <w:t xml:space="preserve">• Led IBM-AWS alliance co-sell motions for financial-services modernization opportunities, delivering 20% joint revenue growth.</w:t>
      </w:r>
    </w:p>
    <w:p>
      <w:r>
        <w:t xml:space="preserve">• Built decision-support data models and BI views that connected modernization programs to executive operating decisions</w:t>
      </w:r>
    </w:p>
    <w:p>
      <w:r>
        <w:t xml:space="preserve">• Led technical discovery and solution architecture mapping for enterprise financial-services pursuits.</w:t>
      </w:r>
    </w:p>
    <w:p>
      <w:r>
        <w:t xml:space="preserve">• Owned quota-aligned solution leadership and pipeline governance across enterprise pursuits and client portfolio expansion motions.</w:t>
      </w:r>
    </w:p>
    <w:p>
      <w:r>
        <w:t xml:space="preserve">• Architected industry-specific AI, analytics, and cloud modernization reference architectures for financial-services decision support.</w:t>
      </w:r>
    </w:p>
    <w:p/>
    <w:p>
      <w:r>
        <w:t xml:space="preserve">InsurTech Cloud Solutions — Chief Technology Officer</w:t>
      </w:r>
    </w:p>
    <w:p>
      <w:r>
        <w:t xml:space="preserve">New York, NY | Apr 2014 – Mar 2017</w:t>
      </w:r>
    </w:p>
    <w:p>
      <w:r>
        <w:t xml:space="preserve">Led AWS modernization execution for monolithic policy administration and insurance platform workloads.</w:t>
      </w:r>
    </w:p>
    <w:p>
      <w:r>
        <w:t xml:space="preserve">• Implemented SOC 2-aligned AWS controls for regulated insurers adopting analytics and ML.</w:t>
      </w:r>
    </w:p>
    <w:p>
      <w:r>
        <w:t xml:space="preserve">• Built safety operating-model framing around AWS shared responsibility and insurer-owned controls.</w:t>
      </w:r>
    </w:p>
    <w:p/>
    <w:p>
      <w:r>
        <w:t xml:space="preserve">Ernst &amp; Young — Principal</w:t>
      </w:r>
    </w:p>
    <w:p>
      <w:r>
        <w:t xml:space="preserve">New York, NY | Oct 2009 – Mar 2014</w:t>
      </w:r>
    </w:p>
    <w:p>
      <w:r>
        <w:t xml:space="preserve">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As a Fellow of the Society of Actuaries (FSA), priced exotic derivatives and structured multi-Greek hedging strategies, built stochastic capital models, and supported HPC-based valuation frameworks for scenario testing and capital adequacy — the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