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Runtime Governance Reliability | Regulated Rollback Evaluation Systems | Quota Aligned Portfolio Leadership</w:t>
      </w:r>
    </w:p>
    <w:p/>
    <w:p>
      <w:pPr>
        <w:pStyle w:val="Heading1"/>
      </w:pPr>
      <w:r>
        <w:t xml:space="preserve">EXECUTIVE SUMMARY</w:t>
      </w:r>
    </w:p>
    <w:p>
      <w:r>
        <w:t xml:space="preserve">Technology strategy executive who builds governed agentic AI platform architecture, pairing embedded release security discipline with enterprise operating control. Designs the platform's control plane so autonomous work executes under policy-gated dispatch rather than open-ended automation. That same control plane preserves human override escalation paths, keeping execution reviewable rather than opaque. Runtime proof-bundle lineage extends that control into traceable evidence, with deployment blueprints delivering measurable repeatability while release-gate security scanning stays embedded across regulated modernization delivery paths. In parallel, platform productization leadership scaled engineering delivery and generated $22M in IP-led revenue, growing margin outcomes alongside team scale. That integrated arc of platform architecture, traceable control, and commercial outcomes positions this leadership for partner-facing technical architecture work.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safe AI partner deployment assurance patterns, Quota-aligned enterprise solution execution for pursuits, Partner AI solution architecture and co-sell execution, AI co-sell bundling with strategic partners</w:t>
      </w:r>
    </w:p>
    <w:p>
      <w:r>
        <w:t xml:space="preserve">AI Platform Leadership: governed multi-agent orchestration control planes, policy-bound execution architecture for AI agents, Agentic platform route-policy dispatch architecture</w:t>
      </w:r>
    </w:p>
    <w:p>
      <w:r>
        <w:t xml:space="preserve">Governance, Risk &amp; Compliance: fail-closed runtime control gate design,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AI platform packaging for adoption, production runtime readiness from prototype to adoption</w:t>
      </w:r>
    </w:p>
    <w:p>
      <w:r>
        <w:t xml:space="preserve">LLMOps &amp; Reliability: audit-grade telemetry for agentic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cross-functional delivery governance at scale, organization scale-out for platform operating model, Enterprise technical pre-sales solution engineering, Customer success and value-realization operating cadence, Partner customer deal support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Consulting's mandate to industrialize agentic AI for regulated-enterprise adoption, connecting platform direction, control-plane architecture, lifecycle discipline, and commercialization into a productized operating model that transformed field delivery into durable IP-led services and scalable enterprise deployment.</w:t>
      </w:r>
    </w:p>
    <w:p>
      <w:r>
        <w:t xml:space="preserve">• Directed control-plane architecture for a governed multi-agent platform, establishing a policy-gated agent execution surface for regulated enterprise AI workflows.</w:t>
      </w:r>
    </w:p>
    <w:p>
      <w:r>
        <w:t xml:space="preserve">• Aligned enterprise generative-AI adoption to CFO priorities, generating CFO-aligned adoption motions tied to reusable AI platform commercialization.</w:t>
      </w:r>
    </w:p>
    <w:p>
      <w:r>
        <w:t xml:space="preserve">• Built evaluation gates, telemetry, and rollback controls into production agent runtimes, delivering audit-grade runtime observability coverage for regulated AI workflows.</w:t>
      </w:r>
    </w:p>
    <w:p>
      <w:r>
        <w:t xml:space="preserve">• Standardized the AI systems lifecycle from intake through monitoring, compressing the AI systems lifecycle from six months to three weeks for client deployments.</w:t>
      </w:r>
    </w:p>
    <w:p>
      <w:r>
        <w:t xml:space="preserve">• Architected distributed cloud and Databricks Lakehouse data infrastructure for agentic workloads, achieving high-availability distributed service patterns for enterprise AI platforms.</w:t>
      </w:r>
    </w:p>
    <w:p>
      <w:r>
        <w:t xml:space="preserve">• Converted bespoke delivery into reusable platform IP while scaling the engineering team from 8 to 28 to support agentic platform commercialization.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Drove AWS alliance and solution architecture across enterprise client pursuits at IBM, establishing a BI and pipeline operating discipline that connected discovery to executive decisions and made partner-led growth more repeatable.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Owned quota-aligned solution leadership and pipeline governance across enterprise pursuits and client portfolio expansion motions.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