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[NOT COMPLETED: headline — missing_or_empty_headline]</w:t>
      </w:r>
    </w:p>
    <w:p/>
    <w:p>
      <w:pPr>
        <w:pStyle w:val="Heading1"/>
      </w:pPr>
      <w:r>
        <w:t xml:space="preserve">EXECUTIVE SUMMARY</w:t>
      </w:r>
    </w:p>
    <w:p>
      <w:r>
        <w:t xml:space="preserve">[NOT COMPLETED: executive_summary — missing_or_empty_executive_summary]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Cloud &amp; Partner Ecosystems: partner-ready applied AI reference architectures, Buyer-specific solution mapping for enterprise pursuits, Partner AI solution architecture and co-sell execution</w:t>
      </w:r>
    </w:p>
    <w:p>
      <w:r>
        <w:t xml:space="preserve">AI Platform Leadership: governed multi-agent orchestration control planes, agentic workflow routing across enterprise systems, Agentic platform route-policy dispatch architecture</w:t>
      </w:r>
    </w:p>
    <w:p>
      <w:r>
        <w:t xml:space="preserve">Governance, Risk &amp; Compliance: fail-closed runtime control gate design, policy enforcement across agent execution paths, Regulated DevSecOps release governance pipelines</w:t>
      </w:r>
    </w:p>
    <w:p>
      <w:r>
        <w:t xml:space="preserve">Technology Strategy &amp; Innovation: relationship-grounded context retrieval for enterprise workflows, dense-sparse retrieval with relationship-aware ranking, authority-ordered prompt context assembly pipelines</w:t>
      </w:r>
    </w:p>
    <w:p>
      <w:r>
        <w:t xml:space="preserve">Commercial &amp; Operating Impact: Enterprise pursuit execution across portfolio expansion motions, Partner value-realization operating cadence and deal support, AI co-sell bundling with strategic partners</w:t>
      </w:r>
    </w:p>
    <w:p>
      <w:r>
        <w:t xml:space="preserve">LLMOps &amp; Reliability: audit-ready agent reliability evidence for governed systems, evaluation gauntlets for behavior assurance, production reliability lifecycle for agentic workflows</w:t>
      </w:r>
    </w:p>
    <w:p>
      <w:r>
        <w:t xml:space="preserve">Data &amp; Analytics Modernization: cloud-native AI data reference architectures, microservices integration for regulated ecosystems, lakehouse modernization for decision intelligence</w:t>
      </w:r>
    </w:p>
    <w:p>
      <w:r>
        <w:t xml:space="preserve">Engineering &amp; Delivery Leadership: executive-aligned technical discovery operating cadences, cross-functional enterprise solution architecture delivery governance, Presales-to-delivery customer success operating handoff cadence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• Established a policy-gated agent execution surface for governed enterprise AI workflows through deterministic route-policy dispatch and multi-agent orchestration contracts.</w:t>
      </w:r>
    </w:p>
    <w:p>
      <w:r>
        <w:t xml:space="preserve">• Advanced CFO-aligned enterprise adoption motions tied to reusable AI platform commercialization, connecting enterprise workflow adoption with usage-based forecasting.</w:t>
      </w:r>
    </w:p>
    <w:p>
      <w:r>
        <w:t xml:space="preserve">• Strengthened audit-grade runtime observability coverage for regulated AI workflows with evaluation gates, telemetry, and rollback controls.</w:t>
      </w:r>
    </w:p>
    <w:p>
      <w:r>
        <w:t xml:space="preserve">• Accelerated the AI systems lifecycle from six months to three weeks by standardizing managed workflow orchestration from intake through production monitoring.</w:t>
      </w:r>
    </w:p>
    <w:p>
      <w:r>
        <w:t xml:space="preserve">• Architected high-availability distributed service patterns for enterprise AI platforms across cloud data infrastructure, vector services, and parallel decision workflows.</w:t>
      </w:r>
    </w:p>
    <w:p>
      <w:r>
        <w:t xml:space="preserve">• Scaled the engineering team from 8 to 28 while commercializing reusable AI platform capability through agentic platform productization and a repeatable operating model.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[NOT COMPLETED: ibm — ibm_bullets and ibm_narrative did not produce finalized content]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[NOT COMPLETED: insurtech — generated narrative and bullets were not produced in this run]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[NOT COMPLETED: ey — generated narrative and bullets were not produced in this run]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Priced exotic derivatives and structured multi-Greek hedging strategies, built stochastic capital models, and supported HPC-based valuation frameworks for scenario testing and capital adequacy —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