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Runtime Telemetry Governance | Alliance Co-Sell Leadership | Enterprise Portfolio Expansion</w:t>
      </w:r>
    </w:p>
    <w:p/>
    <w:p>
      <w:pPr>
        <w:pStyle w:val="Heading1"/>
      </w:pPr>
      <w:r>
        <w:t xml:space="preserve">EXECUTIVE SUMMARY</w:t>
      </w:r>
    </w:p>
    <w:p>
      <w:r>
        <w:t xml:space="preserve">Engineering leadership anchors regulated modernization delivery in release resilience while shaping governed agentic AI platform architecture and IP-led growth. The operating model turns platform control-plane architecture into a coherent foundation for governed execution across enterprise use cases. Software dependency graph intelligence enables accelerated legacy-system analysis, exposes architecture dependency chains, and improves transformation visibility across enterprise complexity. Against that operating lineage, human override and escalation paths, runtime proof bundles, and replayable controls manifests make decision rights and execution evidence inspectable. In parallel, platform productization converted technical capability into $22M of IP-led revenue while expanding margins and team scale. The same leadership system guides platform evolution by pairing controlled execution with product discipline, measurable value, and durable engineering capacity.</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aligning platform architecture, a productized operating model, and alliance distribution so regulated enterprise clients could adopt repeatable IP-led services across consulting-led delivery contexts rather than isolated engagements.</w:t>
      </w:r>
    </w:p>
    <w:p>
      <w:r>
        <w:t xml:space="preserve">• Established a policy-gated agent execution surface for governed enterprise AI workflows through governed agentic systems architecture and multi-agent orchestration contracts.</w:t>
      </w:r>
    </w:p>
    <w:p>
      <w:r>
        <w:t xml:space="preserve">• Advanced CFO-aligned adoption motions tied to reusable AI platform commercialization by connecting enterprise workflow adoption with usage-based forecasting.</w:t>
      </w:r>
    </w:p>
    <w:p>
      <w:r>
        <w:t xml:space="preserve">• Strengthened production trust with audit-grade runtime observability coverage for regulated AI workflows, supported by evaluation gates, telemetry, and rollback controls.</w:t>
      </w:r>
    </w:p>
    <w:p>
      <w:r>
        <w:t xml:space="preserve">• Accelerated the AI systems lifecycle from six months to three weeks by standardizing managed workflow orchestration, replayable runtime design, and exit disposition governance.</w:t>
      </w:r>
    </w:p>
    <w:p>
      <w:r>
        <w:t xml:space="preserve">• Delivered high-availability distributed service patterns for enterprise AI platforms across cloud data infrastructure, vector services, and parallel decision workflows.</w:t>
      </w:r>
    </w:p>
    <w:p>
      <w:r>
        <w:t xml:space="preserve">• Scaled the engineering team from 8 to 28 while commercializing reusable AI platform capability through agentic platform productization and a scalable operating model.</w:t>
      </w:r>
    </w:p>
    <w:p/>
    <w:p>
      <w:r>
        <w:t xml:space="preserve">IBM — Partner</w:t>
      </w:r>
    </w:p>
    <w:p>
      <w:r>
        <w:t xml:space="preserve">Edgewater, NJ | Apr 2017 – Oct 2022</w:t>
      </w:r>
    </w:p>
    <w:p>
      <w:r>
        <w:t xml:space="preserve">Championed AWS alliance solution architecture at IBM, establishing BI-backed decision support that made executive operating alignment more repeatable across complex enterprise modernization pursuits and client engagements.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