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Alliance-led technology executive who sets operating direction for partner co-sell and platform productization, connecting cloud-market execution with IP-led growth. From that commercial base, regulated modernization delivery anchors release automation and security scanning in resilient operating paths. Against that delivery foundation, alliance operating cadence and AI-driven sales frameworks supported 20% joint revenue growth. In parallel, repeatable deployment blueprints and release-gate security scanning coverage strengthen control across modernization delivery. That operating model also enabled platform productization tied to $22M in IP-led revenue, with margin expansion and team scale reinforcing the commercial case. Future partner-led growth can build on this platform discipline, extending secure delivery while increasing monetization of platform IP.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co-developed AI solution patterns for partners, safe AI partner deployment assurance patterns, Quota-aligned enterprise solution execution for pursuits, AI co-sell bundling with strategic partners</w:t>
      </w:r>
    </w:p>
    <w:p>
      <w:r>
        <w:t xml:space="preserve">AI Platform Leadership: governed multi-agent orchestration control planes, agentic workflow routing across enterprise systems, policy-bound execution architecture for AI agents</w:t>
      </w:r>
    </w:p>
    <w:p>
      <w:r>
        <w:t xml:space="preserve">Governance, Risk &amp; Compliance: fail-closed runtime control gate design, policy enforcement across agent execution paths, sandboxed decision workflows with audit trails, Regulated DevSecOps release governance pipelines</w:t>
      </w:r>
    </w:p>
    <w:p>
      <w:r>
        <w:t xml:space="preserve">Technology Strategy &amp; Innovation: GraphRAG context grounding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reusable AI platform packaging for adoption, production runtime readiness from prototype to adoption</w:t>
      </w:r>
    </w:p>
    <w:p>
      <w:r>
        <w:t xml:space="preserve">LLMOps &amp; Reliability: audit-grade telemetry for agentic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engineering operating cadences for adoption, cross-functional delivery governance at scale, organization scale-out for platform operating model, Enterprise technical pre-sales solution engineering,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• Established a policy-gated agent execution surface for governed enterprise AI workflows by defining deterministic route-policy dispatch, GraphRAG context-pack grounding, and human override escalation paths.</w:t>
      </w:r>
    </w:p>
    <w:p>
      <w:r>
        <w:t xml:space="preserve">• Advanced CFO-aligned adoption motions tied to reusable AI platform commercialization by connecting enterprise workflow adoption with usage-based forecasting and customer deal support.</w:t>
      </w:r>
    </w:p>
    <w:p>
      <w:r>
        <w:t xml:space="preserve">• Strengthened production agentic AI reliability with audit-grade observability across regulated AI workflows, supported by evaluation gates, telemetry, and rollback controls.</w:t>
      </w:r>
    </w:p>
    <w:p>
      <w:r>
        <w:t xml:space="preserve">• Standardized the AI solution lifecycle with production-readiness gates across intake, execution, monitoring, and remediation, enabling managed workflow orchestration and replayable runtime design.</w:t>
      </w:r>
    </w:p>
    <w:p>
      <w:r>
        <w:t xml:space="preserve">• Built high-availability distributed service patterns for enterprise AI platforms across AWS and Databricks Lakehouse data flows, vector services, and parallel decision workflows.</w:t>
      </w:r>
    </w:p>
    <w:p>
      <w:r>
        <w:t xml:space="preserve">• Scaled the engineering team from 8 to 28 while commercializing reusable AI platform capability through agentic platform productization and a repeatable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Owned P&amp;L oversight and quota-aligned solution leadership across enterprise pursuits and client portfolio expansion motions.</w:t>
      </w:r>
    </w:p>
    <w:p>
      <w:r>
        <w:t xml:space="preserve">• Built decision-support data models and BI views that connected modernization programs to executive operating decisions</w:t>
      </w:r>
    </w:p>
    <w:p>
      <w:r>
        <w:t xml:space="preserve">• Owned quota-aligned solution leadership and pipeline governance across enterprise pursuits and client portfolio expansion motions.</w:t>
      </w:r>
    </w:p>
    <w:p>
      <w:r>
        <w:t xml:space="preserve">• Led technical discovery and solution mapping for enterprise financial-services pursuits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Built safety operating-model framing around AWS shared responsibility and insurer-owned controls.</w:t>
      </w:r>
    </w:p>
    <w:p>
      <w:r>
        <w:t xml:space="preserve">• Implemented SOC 2-aligned AWS controls for regulated insurers adopting analytics and ML.</w:t>
      </w:r>
    </w:p>
    <w:p>
      <w:r>
        <w:t xml:space="preserve">• Re-architected insurer underwriting and operational systems for high availability and real-time operations.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