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Alliance GTM Architecture | Runtime Reliability Governance | Telemetry Evaluation Rollback</w:t>
      </w:r>
    </w:p>
    <w:p/>
    <w:p>
      <w:pPr>
        <w:pStyle w:val="Heading1"/>
      </w:pPr>
      <w:r>
        <w:t xml:space="preserve">EXECUTIVE SUMMARY</w:t>
      </w:r>
    </w:p>
    <w:p>
      <w:r>
        <w:t xml:space="preserve">Executive technology leader aligns alliance growth, regulated modernization, and platform productization around decisions that connect enterprise AI adoption to business value. From that commercial base, IBM-AWS alliance co-sell motions for financial-services modernization become coordinated partner execution with a clear platform agenda. Software dependency graph intelligence enables accelerated legacy-system analysis, exposes architecture dependency chains, and improves transformation visibility across enterprise complexity. In parallel, alliance operating cadence supported 20% joint revenue growth, linking partner execution to measurable commercial accountability. That platform discipline also generated $22M in IP-led revenue while expanding margins and scaling the team, tying productization to investment decisions. Future partner architecture leadership can unite joint solution development and platform growth with governed delivery and commercial accountability.</w:t>
      </w:r>
    </w:p>
    <w:p/>
    <w:p>
      <w:pPr>
        <w:pStyle w:val="Heading1"/>
      </w:pPr>
      <w:r>
        <w:t xml:space="preserve">ENGINEERING &amp; PLATFORM COMPETENCIES</w:t>
      </w:r>
    </w:p>
    <w:p>
      <w:r>
        <w:t xml:space="preserve">Cloud &amp; Partner Ecosystems: partner-ready applied AI reference architectures, co-developed AI solution patterns for partners, safe AI partner deployment assurance patterns, Quota-aligned enterprise solution execution for pursuits, AI co-sell bundling with strategic partners</w:t>
      </w:r>
    </w:p>
    <w:p>
      <w:r>
        <w:t xml:space="preserve">AI Platform Leadership: governed multi-agent orchestration control planes, agentic workflow routing across enterprise systems, policy-bound execution architecture for AI agents</w:t>
      </w:r>
    </w:p>
    <w:p>
      <w:r>
        <w:t xml:space="preserve">Governance, Risk &amp; Compliance: fail-closed runtime control gate design,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reusable AI platform packaging for adoption, production runtime readiness from prototype to adoption, AWS alliance joint GTM execution, Customer success and value-realization operating cadence</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engineering operating cadences for adoption, cross-functional delivery governance at scale, organization scale-out for platform operating model, Enterprise technical pre-sales solution engineering</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turn governed agentic AI architecture into an industrialized commercial engine, linking platform direction, reusable IP, partner-channel enablement, and disciplined enterprise deployment to establish durable operating models and repeatable customer value across demanding financial-services environments.</w:t>
      </w:r>
    </w:p>
    <w:p>
      <w:r>
        <w:t xml:space="preserve">• Established a policy-gated agent execution surface for governed enterprise AI workflows through deterministic route-policy dispatch, GraphRAG context-pack grounding, and human override escalation paths.</w:t>
      </w:r>
    </w:p>
    <w:p>
      <w:r>
        <w:t xml:space="preserve">• Advanced enterprise AI platform adoption through CFO-aligned adoption motions, connecting reusable workflow capabilities with usage-based forecasting and customer value realization.</w:t>
      </w:r>
    </w:p>
    <w:p>
      <w:r>
        <w:t xml:space="preserve">• Strengthened production trust with audit-grade observability for regulated AI workflows, pairing evaluation gates, telemetry, and rollback controls to improve runtime resilience.</w:t>
      </w:r>
    </w:p>
    <w:p>
      <w:r>
        <w:t xml:space="preserve">• Standardized the AI solution lifecycle with production-readiness gates across intake, validation, execution, monitoring, and remediation, enabling more repeatable deployment decisions.</w:t>
      </w:r>
    </w:p>
    <w:p>
      <w:r>
        <w:t xml:space="preserve">• Architected high-availability distributed service patterns for enterprise AI platforms by integrating AWS and Databricks Lakehouse pipelines with vector services and parallel decision workflows.</w:t>
      </w:r>
    </w:p>
    <w:p>
      <w:r>
        <w:t xml:space="preserve">• Scaled the engineering team from 8 to 28 while commercializing reusable AI platform capability through agentic platform productization and a focused operating model.</w:t>
      </w:r>
    </w:p>
    <w:p/>
    <w:p>
      <w:r>
        <w:t xml:space="preserve">IBM — Partner</w:t>
      </w:r>
    </w:p>
    <w:p>
      <w:r>
        <w:t xml:space="preserve">Edgewater, NJ | Apr 2017 – Oct 2022</w:t>
      </w:r>
    </w:p>
    <w:p>
      <w:r>
        <w:t xml:space="preserve">Championed AWS co-sell and technical discovery at IBM, establishing decision-support discipline that connected enterprise modernization pursuits to clearer executive operating decisions.</w:t>
      </w:r>
    </w:p>
    <w:p>
      <w:r>
        <w:t xml:space="preserve">• Led IBM-AWS alliance co-sell motions for financial-services modernization opportunities, delivering 20% joint revenue growth.</w:t>
      </w:r>
    </w:p>
    <w:p>
      <w:r>
        <w:t xml:space="preserve">• Owned P&amp;L oversight and quota-aligned solution leadership across enterprise pursuits, applying pipeline discipline to client portfolio expansion motions.</w:t>
      </w:r>
    </w:p>
    <w:p>
      <w:r>
        <w:t xml:space="preserve">• Built decision-support data models and BI views that connected modernization programs to executive operating decisions</w:t>
      </w:r>
    </w:p>
    <w:p>
      <w:r>
        <w:t xml:space="preserve">• Owned quota-aligned solution leadership and pipeline governance across enterprise pursuits and client portfolio expansion motions.</w:t>
      </w:r>
    </w:p>
    <w:p>
      <w:r>
        <w:t xml:space="preserve">• Led technical discovery and solution mapping for enterprise financial-services pursuits</w:t>
      </w:r>
    </w:p>
    <w:p/>
    <w:p>
      <w:r>
        <w:t xml:space="preserve">InsurTech Cloud Solutions — Chief Technology Officer</w:t>
      </w:r>
    </w:p>
    <w:p>
      <w:r>
        <w:t xml:space="preserve">New York, NY | Apr 2014 – Mar 2017</w:t>
      </w:r>
    </w:p>
    <w:p>
      <w:r>
        <w:t xml:space="preserve">Built safety operating-model framing around AWS shared responsibility and insurer-owned controls.</w:t>
      </w:r>
    </w:p>
    <w:p>
      <w:r>
        <w:t xml:space="preserve">• Implemented SOC 2-aligned AWS controls for regulated insurers adopting analytics and ML.</w:t>
      </w:r>
    </w:p>
    <w:p>
      <w:r>
        <w:t xml:space="preserve">• Re-architected insurer underwriting and operational systems for high availability and real-time operations.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