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Alliance GTM Leadership | Runtime Reliability Governance | Telemetry Evaluation Runtime</w:t>
      </w:r>
    </w:p>
    <w:p/>
    <w:p>
      <w:pPr>
        <w:pStyle w:val="Heading1"/>
      </w:pPr>
      <w:r>
        <w:t xml:space="preserve">EXECUTIVE SUMMARY</w:t>
      </w:r>
    </w:p>
    <w:p>
      <w:r>
        <w:t xml:space="preserve">Executive leadership centers on IBM-AWS alliance co-sell motions for financial-services modernization while shaping an operating model for platform IP and partner-led growth. From that commercial base, platform productization connects AI capability to joint solution development and disciplined lifecycle decisions. Software dependency graph intelligence enables accelerated legacy-system analysis, exposes architecture dependency chains, and improves transformation visibility across enterprise complexity. In parallel, release automation and security scanning were embedded into regulated modernization delivery paths. That operating foundation also generated $22M in IP-led revenue while expanding margins and scaling the team through platform productization. Future leadership can align alliance execution, secure modernization, and platform IP growth around repeatable customer outcomes.</w:t>
      </w:r>
    </w:p>
    <w:p/>
    <w:p>
      <w:pPr>
        <w:pStyle w:val="Heading1"/>
      </w:pPr>
      <w:r>
        <w:t xml:space="preserve">ENGINEERING &amp; PLATFORM COMPETENCIES</w:t>
      </w:r>
    </w:p>
    <w:p>
      <w:r>
        <w:t xml:space="preserve">Cloud &amp; Partner Ecosystems: partner-ready applied AI reference architectures, co-developed AI solution patterns for partners, safe AI partner deployment assurance patterns</w:t>
      </w:r>
    </w:p>
    <w:p>
      <w:r>
        <w:t xml:space="preserve">AI Platform Leadership: governed multi-agent orchestration control planes, agentic workflow routing across enterprise systems, policy-bound execution architecture for AI agents</w:t>
      </w:r>
    </w:p>
    <w:p>
      <w:r>
        <w:t xml:space="preserve">Governance, Risk &amp; Compliance: fail-closed runtime control gate design,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reusable AI platform commercialization for adoption, Quota-aligned enterprise solution execution for pursuits, AWS alliance joint GTM execution, Customer success and value-realization operating cadence, AI co-sell bundling with strategic partners</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enterprise pursuit operating model scale-out, Enterprise technical pre-sales solution engineering</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governed agentic AI, aligning control-plane architecture, a productized operating model, and alliance distribution so regulated enterprise clients could adopt repeatable IP-led services rather than receive isolated bespoke implementations.</w:t>
      </w:r>
    </w:p>
    <w:p>
      <w:r>
        <w:t xml:space="preserve">• Established a policy-gated agent execution surface for governed enterprise AI workflows through deterministic route-policy dispatch, GraphRAG context-pack grounding, and human override escalation paths.</w:t>
      </w:r>
    </w:p>
    <w:p>
      <w:r>
        <w:t xml:space="preserve">• Advanced enterprise AI platform adoption through CFO-aligned adoption motions, connecting workflow value to usage-based forecasting and reusable commercialization patterns.</w:t>
      </w:r>
    </w:p>
    <w:p>
      <w:r>
        <w:t xml:space="preserve">• Strengthened production reliability with audit-grade runtime observability for regulated AI workflows, supported by evaluation gates, telemetry, and rollback controls.</w:t>
      </w:r>
    </w:p>
    <w:p>
      <w:r>
        <w:t xml:space="preserve">• Standardized the AI solution lifecycle with production-readiness gates across intake, execution, monitoring, and remediation, enabling more repeatable client deployments.</w:t>
      </w:r>
    </w:p>
    <w:p>
      <w:r>
        <w:t xml:space="preserve">• Built high-availability distributed service patterns for enterprise AI platforms across AWS and Databricks Lakehouse data pipelines, vector services, and parallel decision workflows.</w:t>
      </w:r>
    </w:p>
    <w:p>
      <w:r>
        <w:t xml:space="preserve">• Scaled the engineering team from 8 to 28 while commercializing reusable AI platform capability through agentic platform productization and a focused operating model.</w:t>
      </w:r>
    </w:p>
    <w:p/>
    <w:p>
      <w:r>
        <w:t xml:space="preserve">IBM — Partner</w:t>
      </w:r>
    </w:p>
    <w:p>
      <w:r>
        <w:t xml:space="preserve">Edgewater, NJ | Apr 2017 – Oct 2022</w:t>
      </w:r>
    </w:p>
    <w:p>
      <w:r>
        <w:t xml:space="preserve">Championed IBM-AWS alliance modernization for financial-services pursuits, establishing executive decision support and a repeatable operating discipline that aligned complex solution choices with portfolio priorities and enabled clearer enterprise action.</w:t>
      </w:r>
    </w:p>
    <w:p>
      <w:r>
        <w:t xml:space="preserve">• Led IBM-AWS alliance co-sell motions for financial-services modernization opportunities, delivering 20% joint revenue growth.</w:t>
      </w:r>
    </w:p>
    <w:p>
      <w:r>
        <w:t xml:space="preserve">• Owned P&amp;L oversight and quota-aligned solution leadership across enterprise pursuits, applying pipeline discipline to client portfolio expansion motions.</w:t>
      </w:r>
    </w:p>
    <w:p>
      <w:r>
        <w:t xml:space="preserve">• Built decision-support data models and BI views that connected modernization programs to executive operating decisions</w:t>
      </w:r>
    </w:p>
    <w:p>
      <w:r>
        <w:t xml:space="preserve">• Owned quota-aligned solution leadership and pipeline governance across enterprise pursuits and client portfolio expansion motions.</w:t>
      </w:r>
    </w:p>
    <w:p>
      <w:r>
        <w:t xml:space="preserve">• Led technical discovery and solution mapping for enterprise financial-services pursuits</w:t>
      </w:r>
    </w:p>
    <w:p/>
    <w:p>
      <w:r>
        <w:t xml:space="preserve">InsurTech Cloud Solutions — Chief Technology Officer</w:t>
      </w:r>
    </w:p>
    <w:p>
      <w:r>
        <w:t xml:space="preserve">New York, NY | Apr 2014 – Mar 2017</w:t>
      </w:r>
    </w:p>
    <w:p>
      <w:r>
        <w:t xml:space="preserve">Built safety operating-model framing around AWS shared responsibility and insurer-owned controls.</w:t>
      </w:r>
    </w:p>
    <w:p>
      <w:r>
        <w:t xml:space="preserve">• Implemented SOC 2-aligned AWS controls for regulated insurers adopting analytics and ML.</w:t>
      </w:r>
    </w:p>
    <w:p>
      <w:r>
        <w:t xml:space="preserve">• Re-architected insurer underwriting and operational systems for high availability and real-time operations.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