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Amit Ayer</w:t>
      </w:r>
    </w:p>
    <w:p>
      <w:r>
        <w:t xml:space="preserve">+1-917-239-3830 | amitayer1@gmail.com | linkedin.com/in/amitayer1 | github.com/Siamese001/Agentic-Workflow</w:t>
      </w:r>
    </w:p>
    <w:p/>
    <w:p>
      <w:pPr>
        <w:pStyle w:val="Heading1"/>
      </w:pPr>
      <w:r>
        <w:t xml:space="preserve">HEADLINE</w:t>
      </w:r>
    </w:p>
    <w:p>
      <w:r>
        <w:t xml:space="preserve">SVP Engineering | Platform Productization Leadership | Runtime Reliability Governance | Partner Channel GTM</w:t>
      </w:r>
    </w:p>
    <w:p/>
    <w:p>
      <w:pPr>
        <w:pStyle w:val="Heading1"/>
      </w:pPr>
      <w:r>
        <w:t xml:space="preserve">EXECUTIVE SUMMARY</w:t>
      </w:r>
    </w:p>
    <w:p>
      <w:r>
        <w:t xml:space="preserve">Executive technology leader who connects IBM-AWS alliance co-sell leadership with platform productization and disciplined modernization delivery. The operating model aligns partner strategy, joint solution development, and governed AI platform direction around executive decisions and repeatable customer value. Within that partner-platform model, software dependency graph intelligence enables accelerated legacy-system analysis, exposes architecture dependency chains, and improves transformation visibility across enterprise complexity. Against that commercial rhythm, release automation and security scanning were embedded in regulated modernization delivery paths, strengthening delivery resilience. In parallel, platform productization generated $22M in IP-led revenue while supporting margin expansion and team scale. The combined model enables future partner-led AI solutions to integrate alliance execution, secure release paths, and platform IP growth.</w:t>
      </w:r>
    </w:p>
    <w:p/>
    <w:p>
      <w:pPr>
        <w:pStyle w:val="Heading1"/>
      </w:pPr>
      <w:r>
        <w:t xml:space="preserve">ENGINEERING &amp; PLATFORM COMPETENCIES</w:t>
      </w:r>
    </w:p>
    <w:p>
      <w:r>
        <w:t xml:space="preserve">Cloud &amp; Partner Ecosystems: partner-ready applied AI reference architectures, co-developed AI solution patterns for partners, AWS alliance joint GTM execution</w:t>
      </w:r>
    </w:p>
    <w:p>
      <w:r>
        <w:t xml:space="preserve">AI Platform Leadership: governed multi-agent orchestration control planes, agentic workflow routing across enterprise systems, policy-bound execution architecture for AI agents</w:t>
      </w:r>
    </w:p>
    <w:p>
      <w:r>
        <w:t xml:space="preserve">Governance, Risk &amp; Compliance: fail-closed runtime control gate design, policy enforcement across agent execution paths, Regulated DevSecOps release governance pipelines</w:t>
      </w:r>
    </w:p>
    <w:p>
      <w:r>
        <w:t xml:space="preserve">Technology Strategy &amp; Innovation: GraphRAG context grounding for enterprise workflows, dense-sparse retrieval with relationship-aware ranking, authority-ordered prompt context assembly pipelines</w:t>
      </w:r>
    </w:p>
    <w:p>
      <w:r>
        <w:t xml:space="preserve">Commercial &amp; Operating Impact: demoable AI accelerators for executive buyers, Quota-aligned enterprise solution execution for pursuits, AI co-sell bundling with strategic partners</w:t>
      </w:r>
    </w:p>
    <w:p>
      <w:r>
        <w:t xml:space="preserve">LLMOps &amp; Reliability: audit-grade telemetry for agentic systems, evaluation gauntlets for behavior assurance, production reliability lifecycle for agentic workflows</w:t>
      </w:r>
    </w:p>
    <w:p>
      <w:r>
        <w:t xml:space="preserve">Data &amp; Analytics Modernization: cloud-native AI data reference architectures, microservices integration for regulated ecosystems, lakehouse modernization for decision intelligence</w:t>
      </w:r>
    </w:p>
    <w:p>
      <w:r>
        <w:t xml:space="preserve">Engineering &amp; Delivery Leadership: executive-aligned technical discovery operating cadences, Enterprise technical pre-sales solution engineering, Customer success and value-realization operating cadence</w:t>
      </w:r>
    </w:p>
    <w:p/>
    <w:p>
      <w:pPr>
        <w:pStyle w:val="Heading1"/>
      </w:pPr>
      <w:r>
        <w:t xml:space="preserve">PROFESSIONAL EXPERIENCE</w:t>
      </w:r>
    </w:p>
    <w:p/>
    <w:p>
      <w:r>
        <w:t xml:space="preserve">Unify Consulting — SVP Engineering, Agentic AI Platforms</w:t>
      </w:r>
    </w:p>
    <w:p>
      <w:r>
        <w:t xml:space="preserve">Boca Raton, FL | Feb 2023 – Present</w:t>
      </w:r>
    </w:p>
    <w:p>
      <w:r>
        <w:t xml:space="preserve">Owned Unify Consulting’s mandate to industrialize a governed agentic AI practice, translating control-plane architecture into a repeatable operating model that joined reusable IP, alliance distribution, and disciplined deployment for regulated enterprise clients seeking durable workflow adoption.</w:t>
      </w:r>
    </w:p>
    <w:p>
      <w:r>
        <w:t xml:space="preserve">• Established a policy-gated agent execution surface for governed enterprise AI workflows by setting control-plane architecture across routing, GraphRAG grounding, runtime gates, and human override paths.</w:t>
      </w:r>
    </w:p>
    <w:p>
      <w:r>
        <w:t xml:space="preserve">• Advanced enterprise AI platform adoption through CFO-aligned adoption motions, connecting workflow value to usage-based forecasting and reusable commercialization patterns.</w:t>
      </w:r>
    </w:p>
    <w:p>
      <w:r>
        <w:t xml:space="preserve">• Strengthened production trust with audit-grade observability for regulated AI workflows, combining evaluation gates, telemetry, and rollback controls for runtime governance.</w:t>
      </w:r>
    </w:p>
    <w:p>
      <w:r>
        <w:t xml:space="preserve">• Standardized the AI solution lifecycle with production-readiness gates from intake through monitoring, using managed workflow orchestration and replayable runtime design.</w:t>
      </w:r>
    </w:p>
    <w:p>
      <w:r>
        <w:t xml:space="preserve">• Architected high-availability distributed service patterns for enterprise AI platforms across AWS and Databricks Lakehouse data paths, vector services, and parallel decision workflows.</w:t>
      </w:r>
    </w:p>
    <w:p>
      <w:r>
        <w:t xml:space="preserve">• Scaled the engineering team from 8 to 28 while commercializing reusable AI platform capability through agentic platform productization and a scalable operating model.</w:t>
      </w:r>
    </w:p>
    <w:p/>
    <w:p>
      <w:r>
        <w:t xml:space="preserve">IBM — Partner</w:t>
      </w:r>
    </w:p>
    <w:p>
      <w:r>
        <w:t xml:space="preserve">Edgewater, NJ | Apr 2017 – Oct 2022</w:t>
      </w:r>
    </w:p>
    <w:p>
      <w:r>
        <w:t xml:space="preserve">Championed enterprise solution governance at IBM through AWS partnership and BI-backed decision support, establishing a pipeline-informed architecture discipline for executive pursuit choices and modernization delivery.</w:t>
      </w:r>
    </w:p>
    <w:p>
      <w:r>
        <w:t xml:space="preserve">• Led IBM-AWS alliance co-sell motions for financial-services modernization opportunities, delivering 20% joint revenue growth.</w:t>
      </w:r>
    </w:p>
    <w:p>
      <w:r>
        <w:t xml:space="preserve">• Owned P&amp;L oversight and quota-aligned solution leadership across enterprise pursuits, applying pipeline discipline to client portfolio expansion motions.</w:t>
      </w:r>
    </w:p>
    <w:p>
      <w:r>
        <w:t xml:space="preserve">• Built decision-support data models and BI views that connected modernization programs to executive operating decisions.</w:t>
      </w:r>
    </w:p>
    <w:p>
      <w:r>
        <w:t xml:space="preserve">• Prioritized enterprise pursuits using solution-architecture feasibility reviews, account context, and buyer readiness, connecting technical validation to executive deal support.</w:t>
      </w:r>
    </w:p>
    <w:p>
      <w:r>
        <w:t xml:space="preserve">• Led technical discovery and solution mapping for enterprise financial-services pursuits, aligning architecture choices with executive buying criteria.</w:t>
      </w:r>
    </w:p>
    <w:p/>
    <w:p>
      <w:r>
        <w:t xml:space="preserve">InsurTech Cloud Solutions — Chief Technology Officer</w:t>
      </w:r>
    </w:p>
    <w:p>
      <w:r>
        <w:t xml:space="preserve">New York, NY | Apr 2014 – Mar 2017</w:t>
      </w:r>
    </w:p>
    <w:p>
      <w:r>
        <w:t xml:space="preserve">Built safety operating-model framing around AWS shared responsibility and insurer-owned controls.</w:t>
      </w:r>
    </w:p>
    <w:p>
      <w:r>
        <w:t xml:space="preserve">• Implemented SOC 2-aligned AWS controls for regulated insurers adopting analytics and ML.</w:t>
      </w:r>
    </w:p>
    <w:p>
      <w:r>
        <w:t xml:space="preserve">• Re-architected insurer underwriting and operational systems for high availability and real-time operations.</w:t>
      </w:r>
    </w:p>
    <w:p/>
    <w:p>
      <w:r>
        <w:t xml:space="preserve">Ernst &amp; Young — Principal</w:t>
      </w:r>
    </w:p>
    <w:p>
      <w:r>
        <w:t xml:space="preserve">New York, NY | Oct 2009 – Mar 2014</w:t>
      </w:r>
    </w:p>
    <w:p>
      <w:r>
        <w:t xml:space="preserve">Led quantitative derivatives, variable-annuity hedging, and insurance-capital work using exotic pricing, liability Greeks, higher-order stress testing, and hedge design.</w:t>
      </w:r>
    </w:p>
    <w:p>
      <w:r>
        <w:t xml:space="preserve">• Led CCAR-era capital, liquidity, stress testing, and model-validation work by structuring traceable scenarios, challenger variants, model-risk remediation, and governance evidence for regulated financial institutions.</w:t>
      </w:r>
    </w:p>
    <w:p>
      <w:r>
        <w:t xml:space="preserve">• Architected ERM operating models and BCBS 239-aligned risk-data aggregation by defining three-lines-of-defense accountability, metadata standards, and auditable risk metrics.</w:t>
      </w:r>
    </w:p>
    <w:p/>
    <w:p>
      <w:r>
        <w:t xml:space="preserve">Early Career Roles — Actuarial Consultant and Quantitative Roles</w:t>
      </w:r>
    </w:p>
    <w:p>
      <w:r>
        <w:t xml:space="preserve">Philadelphia, PA | Oct 2002 – Sep 2009</w:t>
      </w:r>
    </w:p>
    <w:p>
      <w:r>
        <w:t xml:space="preserve">• Actuarial &amp; Quantitative Foundation: As a Fellow of the Society of Actuaries (FSA), priced exotic derivatives and structured multi-Greek hedging strategies, built stochastic capital models, and supported HPC-based valuation frameworks for scenario testing and capital adequacy — the quantitative rigor and risk discipline that now underpin my work in AI platform architecture and runtime governance.</w:t>
      </w:r>
    </w:p>
    <w:p/>
    <w:p>
      <w:pPr>
        <w:pStyle w:val="Heading1"/>
      </w:pPr>
      <w:r>
        <w:t xml:space="preserve">EDUCATION</w:t>
      </w:r>
    </w:p>
    <w:p>
      <w:r>
        <w:t xml:space="preserve">Master of Science in Biostatistics, Columbia University (Graduated with Distinction)</w:t>
      </w:r>
    </w:p>
    <w:p>
      <w:r>
        <w:t xml:space="preserve">Bachelor of Arts in Biology, Brown University (Graduated Cum Laude)</w:t>
      </w:r>
    </w:p>
    <w:p/>
    <w:p>
      <w:pPr>
        <w:pStyle w:val="Heading1"/>
      </w:pPr>
      <w:r>
        <w:t xml:space="preserve">CERTIFICATIONS &amp; CREDENTIALS</w:t>
      </w:r>
    </w:p>
    <w:p>
      <w:r>
        <w:t xml:space="preserve">Certified Machine Learning Engineer – Associate, AWS, 2025</w:t>
      </w:r>
    </w:p>
    <w:p>
      <w:r>
        <w:t xml:space="preserve">Databricks Lakehouse Fundamentals Accreditation, 2023</w:t>
      </w:r>
    </w:p>
    <w:p>
      <w:r>
        <w:t xml:space="preserve">Certified Solutions Architect – Professional, AWS, 2023</w:t>
      </w:r>
    </w:p>
    <w:p>
      <w:r>
        <w:t xml:space="preserve">Fellow of the Society of Actuaries, 2010</w:t>
      </w:r>
    </w:p>
    <w:sectPr>
      <w:pgSz w:w="12240" w:h="15840"/>
      <w:pgMar w:top="720" w:right="720" w:bottom="720" w:left="720" w:header="360" w:footer="360" w:gutter="0"/>
    </w:sectPr>
  </w:body>
</w:document>
</file>

<file path=word/styles.xml><?xml version="1.0" encoding="utf-8"?>
<w:styles xmlns:w="http://schemas.openxmlformats.org/wordprocessingml/2006/main">
  <w:docDefaults>
    <w:rPrDefault>
      <w:rPr>
        <w:rFonts w:ascii="Aptos" w:hAnsi="Aptos"/>
        <w:sz w:val="20"/>
        <w:szCs w:val="20"/>
      </w:rPr>
    </w:rPrDefault>
    <w:pPrDefault>
      <w:pPr>
        <w:spacing w:after="80"/>
      </w:pPr>
    </w:pPrDefault>
  </w:docDefaults>
  <w:style w:type="paragraph" w:default="1" w:styleId="Normal">
    <w:name w:val="Normal"/>
  </w:style>
  <w:style w:type="paragraph" w:styleId="Title">
    <w:name w:val="Title"/>
    <w:basedOn w:val="Normal"/>
    <w:pPr>
      <w:jc w:val="center"/>
      <w:spacing w:after="80"/>
    </w:pPr>
    <w:rPr>
      <w:b/>
      <w:sz w:val="36"/>
      <w:szCs w:val="36"/>
    </w:rPr>
  </w:style>
  <w:style w:type="paragraph" w:styleId="Heading1">
    <w:name w:val="heading 1"/>
    <w:basedOn w:val="Normal"/>
    <w:pPr>
      <w:keepNext/>
      <w:spacing w:before="180" w:after="60"/>
    </w:pPr>
    <w:rPr>
      <w:b/>
      <w:color w:val="1F3A5F"/>
      <w:sz w:val="22"/>
      <w:szCs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