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Amit Ayer</w:t>
      </w:r>
    </w:p>
    <w:p>
      <w:r>
        <w:t xml:space="preserve">+1-917-239-3830 | amitayer1@gmail.com | linkedin.com/in/amitayer1 | github.com/Siamese001/Agentic-Workflow</w:t>
      </w:r>
    </w:p>
    <w:p/>
    <w:p>
      <w:pPr>
        <w:pStyle w:val="Heading1"/>
      </w:pPr>
      <w:r>
        <w:t xml:space="preserve">HEADLINE</w:t>
      </w:r>
    </w:p>
    <w:p>
      <w:r>
        <w:t xml:space="preserve">[NOT COMPLETED: headline — missing_or_empty_headline]</w:t>
      </w:r>
    </w:p>
    <w:p/>
    <w:p>
      <w:pPr>
        <w:pStyle w:val="Heading1"/>
      </w:pPr>
      <w:r>
        <w:t xml:space="preserve">EXECUTIVE SUMMARY</w:t>
      </w:r>
    </w:p>
    <w:p>
      <w:r>
        <w:t xml:space="preserve">[NOT COMPLETED: executive_summary — missing_or_empty_executive_summary]</w:t>
      </w:r>
    </w:p>
    <w:p/>
    <w:p>
      <w:pPr>
        <w:pStyle w:val="Heading1"/>
      </w:pPr>
      <w:r>
        <w:t xml:space="preserve">ENGINEERING &amp; PLATFORM COMPETENCIES</w:t>
      </w:r>
    </w:p>
    <w:p>
      <w:r>
        <w:t xml:space="preserve">Cloud &amp; Partner Ecosystems: partner-ready applied AI reference architectures, co-developed AI solution patterns for partners, AWS alliance joint architecture leadership</w:t>
      </w:r>
    </w:p>
    <w:p>
      <w:r>
        <w:t xml:space="preserve">AI Platform Leadership: governed multi-agent orchestration control planes, agentic workflow routing across enterprise systems, GraphRAG context pack grounding for governed execution</w:t>
      </w:r>
    </w:p>
    <w:p>
      <w:r>
        <w:t xml:space="preserve">Governance, Risk &amp; Compliance: fail-closed runtime control gate design, policy enforcement across agent execution paths, Regulated DevSecOps release governance pipelines</w:t>
      </w:r>
    </w:p>
    <w:p>
      <w:r>
        <w:t xml:space="preserve">Technology Strategy &amp; Innovation: relationship-grounded context retrieval for enterprise workflows, dense-sparse retrieval with relationship-aware ranking, authority-ordered prompt context assembly pipelines</w:t>
      </w:r>
    </w:p>
    <w:p>
      <w:r>
        <w:t xml:space="preserve">Commercial &amp; Operating Impact: demoable AI accelerators for executive buyers, Enterprise pursuit execution across portfolio expansion motions, AI co-sell bundling with strategic partners</w:t>
      </w:r>
    </w:p>
    <w:p>
      <w:r>
        <w:t xml:space="preserve">LLMOps &amp; Reliability: audit-ready agent reliability evidence for governed systems, evaluation gauntlets for behavior assurance, production reliability lifecycle for agentic workflows</w:t>
      </w:r>
    </w:p>
    <w:p>
      <w:r>
        <w:t xml:space="preserve">Data &amp; Analytics Modernization: cloud-native AI data reference architectures, microservices integration for regulated ecosystems, lakehouse modernization for decision intelligence</w:t>
      </w:r>
    </w:p>
    <w:p>
      <w:r>
        <w:t xml:space="preserve">Engineering &amp; Delivery Leadership: executive-aligned technical discovery operating cadences, Buyer-specific solution mapping for enterprise pursuits, Customer success and value-realization operating cadence</w:t>
      </w:r>
    </w:p>
    <w:p/>
    <w:p>
      <w:pPr>
        <w:pStyle w:val="Heading1"/>
      </w:pPr>
      <w:r>
        <w:t xml:space="preserve">PROFESSIONAL EXPERIENCE</w:t>
      </w:r>
    </w:p>
    <w:p/>
    <w:p>
      <w:r>
        <w:t xml:space="preserve">Unify Consulting — SVP Engineering, Agentic AI Platforms</w:t>
      </w:r>
    </w:p>
    <w:p>
      <w:r>
        <w:t xml:space="preserve">Boca Raton, FL | Feb 2023 – Present</w:t>
      </w:r>
    </w:p>
    <w:p>
      <w:r>
        <w:t xml:space="preserve">• Established a policy-gated agent execution surface for governed enterprise AI workflows by setting control-plane architecture for deterministic routing, GraphRAG grounding, runtime gates, and human escalation.</w:t>
      </w:r>
    </w:p>
    <w:p>
      <w:r>
        <w:t xml:space="preserve">• Advanced enterprise AI platform adoption through CFO-aligned adoption motions, connecting reusable workflow capabilities with enterprise value realization and usage-based forecasting.</w:t>
      </w:r>
    </w:p>
    <w:p>
      <w:r>
        <w:t xml:space="preserve">• Strengthened regulated AI workflows with audit-grade runtime observability, combining evaluation gates, telemetry, and rollback controls for reliable production execution.</w:t>
      </w:r>
    </w:p>
    <w:p>
      <w:r>
        <w:t xml:space="preserve">• Standardized an AI solution lifecycle with production-readiness gates from intake through monitoring, using managed workflow orchestration and replayable runtime design to support repeatable deployment.</w:t>
      </w:r>
    </w:p>
    <w:p>
      <w:r>
        <w:t xml:space="preserve">• Architected high-availability distributed service patterns for enterprise AI platforms across cloud data pipelines, vector services, and parallel decision workflows.</w:t>
      </w:r>
    </w:p>
    <w:p>
      <w:r>
        <w:t xml:space="preserve">• Scaled the engineering team from 8 to 28 while commercializing reusable AI platform capability through an operating model for agentic AI and platform productization.</w:t>
      </w:r>
    </w:p>
    <w:p/>
    <w:p>
      <w:r>
        <w:t xml:space="preserve">IBM — Partner</w:t>
      </w:r>
    </w:p>
    <w:p>
      <w:r>
        <w:t xml:space="preserve">Edgewater, NJ | Apr 2017 – Oct 2022</w:t>
      </w:r>
    </w:p>
    <w:p>
      <w:r>
        <w:t xml:space="preserve">[NOT COMPLETED: ibm — ibm_bullets and ibm_narrative did not produce finalized content]</w:t>
      </w:r>
    </w:p>
    <w:p/>
    <w:p>
      <w:r>
        <w:t xml:space="preserve">InsurTech Cloud Solutions — Chief Technology Officer</w:t>
      </w:r>
    </w:p>
    <w:p>
      <w:r>
        <w:t xml:space="preserve">New York, NY | Apr 2014 – Mar 2017</w:t>
      </w:r>
    </w:p>
    <w:p>
      <w:r>
        <w:t xml:space="preserve">[NOT COMPLETED: insurtech — generated narrative and bullets were not produced in this run]</w:t>
      </w:r>
    </w:p>
    <w:p/>
    <w:p>
      <w:r>
        <w:t xml:space="preserve">Ernst &amp; Young — Principal</w:t>
      </w:r>
    </w:p>
    <w:p>
      <w:r>
        <w:t xml:space="preserve">New York, NY | Oct 2009 – Mar 2014</w:t>
      </w:r>
    </w:p>
    <w:p>
      <w:r>
        <w:t xml:space="preserve">[NOT COMPLETED: ey — generated narrative and bullets were not produced in this run]</w:t>
      </w:r>
    </w:p>
    <w:p/>
    <w:p>
      <w:r>
        <w:t xml:space="preserve">Early Career Roles — Actuarial Consultant and Quantitative Roles</w:t>
      </w:r>
    </w:p>
    <w:p>
      <w:r>
        <w:t xml:space="preserve">Philadelphia, PA | Oct 2002 – Sep 2009</w:t>
      </w:r>
    </w:p>
    <w:p>
      <w:r>
        <w:t xml:space="preserve">• Actuarial &amp; Quantitative Foundation: Priced exotic derivatives and structured multi-Greek hedging strategies, built stochastic capital models, and supported HPC-based valuation frameworks for scenario testing and capital adequacy — quantitative rigor and risk discipline that now underpin my work in AI platform architecture and runtime governance.</w:t>
      </w:r>
    </w:p>
    <w:p/>
    <w:p>
      <w:pPr>
        <w:pStyle w:val="Heading1"/>
      </w:pPr>
      <w:r>
        <w:t xml:space="preserve">EDUCATION</w:t>
      </w:r>
    </w:p>
    <w:p>
      <w:r>
        <w:t xml:space="preserve">Master of Science in Biostatistics, Columbia University (Graduated with Distinction)</w:t>
      </w:r>
    </w:p>
    <w:p>
      <w:r>
        <w:t xml:space="preserve">Bachelor of Arts in Biology, Brown University (Graduated Cum Laude)</w:t>
      </w:r>
    </w:p>
    <w:p/>
    <w:p>
      <w:pPr>
        <w:pStyle w:val="Heading1"/>
      </w:pPr>
      <w:r>
        <w:t xml:space="preserve">CERTIFICATIONS &amp; CREDENTIALS</w:t>
      </w:r>
    </w:p>
    <w:p>
      <w:r>
        <w:t xml:space="preserve">Certified Machine Learning Engineer – Associate, AWS, 2025</w:t>
      </w:r>
    </w:p>
    <w:p>
      <w:r>
        <w:t xml:space="preserve">Databricks Lakehouse Fundamentals Accreditation, 2023</w:t>
      </w:r>
    </w:p>
    <w:p>
      <w:r>
        <w:t xml:space="preserve">Certified Solutions Architect – Professional, AWS, 2023</w:t>
      </w:r>
    </w:p>
    <w:p>
      <w:r>
        <w:t xml:space="preserve">Fellow of the Society of Actuaries, 2010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  <w:szCs w:val="20"/>
      </w:rPr>
    </w:rPrDefault>
    <w:pPrDefault>
      <w:pPr>
        <w:spacing w:after="80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80"/>
    </w:pPr>
    <w:rPr>
      <w:b/>
      <w:sz w:val="36"/>
      <w:szCs w:val="36"/>
    </w:rPr>
  </w:style>
  <w:style w:type="paragraph" w:styleId="Heading1">
    <w:name w:val="heading 1"/>
    <w:basedOn w:val="Normal"/>
    <w:pPr>
      <w:keepNext/>
      <w:spacing w:before="180" w:after="60"/>
    </w:pPr>
    <w:rPr>
      <w:b/>
      <w:color w:val="1F3A5F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