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Governed Runtime Reliability | Distributed Partner Solution Infrastructure | Agentic Context Evaluation Platform</w:t>
      </w:r>
    </w:p>
    <w:p/>
    <w:p>
      <w:pPr>
        <w:pStyle w:val="Heading1"/>
      </w:pPr>
      <w:r>
        <w:t xml:space="preserve">EXECUTIVE SUMMARY</w:t>
      </w:r>
    </w:p>
    <w:p>
      <w:r>
        <w:t xml:space="preserve">Technology strategy executive who leads governed agentic AI platform architecture for enterprise deployment. Designs the platform runtime as an agentic control plane, giving operators human override escalation paths across production workflows. That same control plane relies on replay-key controls manifests and L0 route policy dispatch to keep every agent action traceable. Building on that foundation, automated release pipelines embed devsecops pipeline security directly into regulated modernization delivery paths. The same platform discipline extends tool sandbox egress policy surfaces and runtime gate verdict contracts, giving partner-facing deployments a consistent, auditable execution boundary. That governed foundation also underpins productization of agentic capability into $22M in IP-led revenue, expanding margin and scaling platform delivery teams to support continued enterprise-ready AI deployment.</w:t>
      </w:r>
    </w:p>
    <w:p/>
    <w:p>
      <w:pPr>
        <w:pStyle w:val="Heading1"/>
      </w:pPr>
      <w:r>
        <w:t xml:space="preserve">ENGINEERING &amp; PLATFORM COMPETENCIES</w:t>
      </w:r>
    </w:p>
    <w:p>
      <w:r>
        <w:t xml:space="preserve">Cloud &amp; Partner Ecosystems: safe AI partner deployment assurance patterns, Quota-aligned enterprise solution execution for pursuits, Partner AI solution architecture and co-sell execution, AI co-sell bundling with strategic partners</w:t>
      </w:r>
    </w:p>
    <w:p>
      <w:r>
        <w:t xml:space="preserve">AI Platform Leadership: governed multi-agent orchestration control planes, policy-bound execution architecture for AI agents, Agentic platform route-policy dispatch architecture</w:t>
      </w:r>
    </w:p>
    <w:p>
      <w:r>
        <w:t xml:space="preserve">Governance, Risk &amp; Compliance: fail-closed runtime control gate design,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reusable AI platform packaging for adoption, production runtime readiness from prototype to adoption</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cross-functional delivery governance at scale, organization scale-out for platform operating model, Enterprise technical pre-sales solution engineering, Customer success and value-realization operating cadence, Partner customer deal support operating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a governed agentic AI capability, linking control-plane architecture, distributed execution, and partner-channel enablement to a productized operating model that turned enterprise delivery patterns into reusable IP and durable adoption across regulated clients.</w:t>
      </w:r>
    </w:p>
    <w:p>
      <w:r>
        <w:t xml:space="preserve">• Architected a policy-gated agent execution surface for governed enterprise AI workflows, combining deterministic L0 route-policy dispatch with multi-agent orchestration contracts and replay-key audit manifests for reproducible runtime traces.</w:t>
      </w:r>
    </w:p>
    <w:p>
      <w:r>
        <w:t xml:space="preserve">• Drove CFO-aligned enterprise adoption motions tied to reusable AI platform commercialization by pairing partner deal support with usage-based subscription forecasting and revenue target ownership.</w:t>
      </w:r>
    </w:p>
    <w:p>
      <w:r>
        <w:t xml:space="preserve">• Delivered audit-grade runtime observability coverage for regulated AI workflows through context engineering, evaluation gates, and rollback controls that harden production execution.</w:t>
      </w:r>
    </w:p>
    <w:p>
      <w:r>
        <w:t xml:space="preserve">• Standardized the AI systems lifecycle from intake through production monitoring, compressing lab-to-production cycle time from six months to three weeks via managed workflow orchestration and replayable runtime design.</w:t>
      </w:r>
    </w:p>
    <w:p>
      <w:r>
        <w:t xml:space="preserve">• Built high-availability distributed service patterns for enterprise AI platforms on AWS and Databricks Lakehouse, integrating dense sparse exact retrieval design with provider and egress governance.</w:t>
      </w:r>
    </w:p>
    <w:p>
      <w:r>
        <w:t xml:space="preserve">• Scaled the platform engineering team from 8 to 28 while converting bespoke delivery into reusable, commercialized AI platform IP and an operating model for agentic AI.</w:t>
      </w:r>
    </w:p>
    <w:p/>
    <w:p>
      <w:r>
        <w:t xml:space="preserve">IBM — Partner</w:t>
      </w:r>
    </w:p>
    <w:p>
      <w:r>
        <w:t xml:space="preserve">Edgewater, NJ | Apr 2017 – Oct 2022</w:t>
      </w:r>
    </w:p>
    <w:p>
      <w:r>
        <w:t xml:space="preserve">Championed AWS partner architecture and alliance execution at IBM, establishing a repeatable pipeline for governed modernization across complex financial-services pursuits.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Owned quota-aligned solution leadership and pipeline governance across enterprise pursuits and client portfolio expansion motions.</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