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Amit Ayer</w:t>
      </w:r>
    </w:p>
    <w:p>
      <w:r>
        <w:t xml:space="preserve">+1-917-239-3830 | amitayer1@gmail.com | linkedin.com/in/amitayer1 | github.com/Siamese001/Agentic-Workflow</w:t>
      </w:r>
    </w:p>
    <w:p/>
    <w:p>
      <w:pPr>
        <w:pStyle w:val="Heading1"/>
      </w:pPr>
      <w:r>
        <w:t xml:space="preserve">HEADLINE</w:t>
      </w:r>
    </w:p>
    <w:p>
      <w:r>
        <w:t xml:space="preserve">[NOT COMPLETED: headline — missing_or_empty_headline]</w:t>
      </w:r>
    </w:p>
    <w:p/>
    <w:p>
      <w:pPr>
        <w:pStyle w:val="Heading1"/>
      </w:pPr>
      <w:r>
        <w:t xml:space="preserve">EXECUTIVE SUMMARY</w:t>
      </w:r>
    </w:p>
    <w:p>
      <w:r>
        <w:t xml:space="preserve">[NOT COMPLETED: executive_summary — missing_or_empty_executive_summary]</w:t>
      </w:r>
    </w:p>
    <w:p/>
    <w:p>
      <w:pPr>
        <w:pStyle w:val="Heading1"/>
      </w:pPr>
      <w:r>
        <w:t xml:space="preserve">ENGINEERING &amp; PLATFORM COMPETENCIES</w:t>
      </w:r>
    </w:p>
    <w:p>
      <w:r>
        <w:t xml:space="preserve">Cloud &amp; Partner Ecosystems: safe AI partner deployment assurance patterns, Quota-aligned enterprise solution execution for pursuits, Partner AI solution architecture and co-sell execution, AI co-sell bundling with strategic partners</w:t>
      </w:r>
    </w:p>
    <w:p>
      <w:r>
        <w:t xml:space="preserve">AI Platform Leadership: governed multi-agent orchestration control planes, policy-bound execution architecture for AI agents, Agentic platform route-policy dispatch architecture</w:t>
      </w:r>
    </w:p>
    <w:p>
      <w:r>
        <w:t xml:space="preserve">Governance, Risk &amp; Compliance: fail-closed runtime control gate design, sandboxed decision workflows with audit trails, Regulated DevSecOps release governance pipelines</w:t>
      </w:r>
    </w:p>
    <w:p>
      <w:r>
        <w:t xml:space="preserve">Technology Strategy &amp; Innovation: GraphRAG context grounding for enterprise workflows, dense-sparse retrieval with relationship-aware ranking, authority-ordered prompt context assembly pipelines</w:t>
      </w:r>
    </w:p>
    <w:p>
      <w:r>
        <w:t xml:space="preserve">Commercial &amp; Operating Impact: demoable AI accelerators for executive buyers, reusable AI platform packaging for adoption, production runtime readiness from prototype to adoption</w:t>
      </w:r>
    </w:p>
    <w:p>
      <w:r>
        <w:t xml:space="preserve">LLMOps &amp; Reliability: audit-grade telemetry for agentic systems, evaluation gauntlets for behavior assurance, production reliability lifecycle for agentic workflows</w:t>
      </w:r>
    </w:p>
    <w:p>
      <w:r>
        <w:t xml:space="preserve">Data &amp; Analytics Modernization: cloud-native AI data reference architectures, microservices integration for regulated ecosystems, lakehouse modernization for decision intelligence</w:t>
      </w:r>
    </w:p>
    <w:p>
      <w:r>
        <w:t xml:space="preserve">Engineering &amp; Delivery Leadership: cross-functional delivery governance at scale, organization scale-out for platform operating model, Enterprise technical pre-sales solution engineering, Customer success and value-realization operating cadence, Partner customer deal support operating cadence</w:t>
      </w:r>
    </w:p>
    <w:p/>
    <w:p>
      <w:pPr>
        <w:pStyle w:val="Heading1"/>
      </w:pPr>
      <w:r>
        <w:t xml:space="preserve">PROFESSIONAL EXPERIENCE</w:t>
      </w:r>
    </w:p>
    <w:p/>
    <w:p>
      <w:r>
        <w:t xml:space="preserve">Unify Consulting — SVP Engineering, Agentic AI Platforms</w:t>
      </w:r>
    </w:p>
    <w:p>
      <w:r>
        <w:t xml:space="preserve">Boca Raton, FL | Feb 2023 – Present</w:t>
      </w:r>
    </w:p>
    <w:p>
      <w:r>
        <w:t xml:space="preserve">Owned Unify Consulting’s mandate to industrialize agentic AI for regulated enterprise adoption, connecting control-plane architecture, lifecycle governance, and alliance distribution to a productized operating model that transformed delivery knowledge into repeatable IP and extensible platform offerings.</w:t>
      </w:r>
    </w:p>
    <w:p>
      <w:r>
        <w:t xml:space="preserve">• Architected a governed policy-gated agent execution surface for enterprise AI workflows, combining L0 route-policy dispatch, multi-agent orchestration contracts, and human override escalation paths to keep agentic decisions auditable at scale.</w:t>
      </w:r>
    </w:p>
    <w:p>
      <w:r>
        <w:t xml:space="preserve">• Built CFO-aligned enterprise adoption motions tied to reusable AI platform commercialization, pairing partner-led deal support with usage-based subscription forecasting to sustain renewals.</w:t>
      </w:r>
    </w:p>
    <w:p>
      <w:r>
        <w:t xml:space="preserve">• Delivered audit-grade runtime observability coverage for regulated AI workflows by pairing context engineering with telemetry and rollback controls across production agentic systems.</w:t>
      </w:r>
    </w:p>
    <w:p>
      <w:r>
        <w:t xml:space="preserve">• Standardized the AI systems lifecycle from intake through production monitoring, compressing lab-to-production cycle time from six months to three weeks through managed workflow orchestration and replayable runtime design.</w:t>
      </w:r>
    </w:p>
    <w:p>
      <w:r>
        <w:t xml:space="preserve">• Engineered high-availability distributed service patterns for enterprise AI platforms, integrating Databricks Lakehouse data pipelines with dense sparse exact retrieval design across cloud environments.</w:t>
      </w:r>
    </w:p>
    <w:p>
      <w:r>
        <w:t xml:space="preserve">• Converted bespoke delivery into commercialized agentic platform capability while scaling the engineering team from 8 to 28 under an operating model for agentic AI.</w:t>
      </w:r>
    </w:p>
    <w:p/>
    <w:p>
      <w:r>
        <w:t xml:space="preserve">IBM — Partner</w:t>
      </w:r>
    </w:p>
    <w:p>
      <w:r>
        <w:t xml:space="preserve">Edgewater, NJ | Apr 2017 – Oct 2022</w:t>
      </w:r>
    </w:p>
    <w:p>
      <w:r>
        <w:t xml:space="preserve">Championed partner-led technical pursuits at IBM, connecting AWS alliance GTM with executive discovery and alignment, establishing a disciplined operating cadence for clearer executive decisions across complex financial-services engagements and enterprise stakeholders.</w:t>
      </w:r>
    </w:p>
    <w:p>
      <w:r>
        <w:t xml:space="preserve">• Led IBM-AWS alliance co-sell motions for financial-services modernization opportunities, delivering 20% joint revenue growth.</w:t>
      </w:r>
    </w:p>
    <w:p>
      <w:r>
        <w:t xml:space="preserve">• Built decision-support data models and BI views that connected modernization programs to executive operating decisions</w:t>
      </w:r>
    </w:p>
    <w:p>
      <w:r>
        <w:t xml:space="preserve">• Led technical discovery and solution architecture mapping for enterprise financial-services pursuits.</w:t>
      </w:r>
    </w:p>
    <w:p>
      <w:r>
        <w:t xml:space="preserve">• Owned quota-aligned solution leadership and pipeline governance across enterprise pursuits and client portfolio expansion motions.</w:t>
      </w:r>
    </w:p>
    <w:p>
      <w:r>
        <w:t xml:space="preserve">• Architected industry-specific AI, analytics, and cloud modernization reference architectures for financial-services decision support.</w:t>
      </w:r>
    </w:p>
    <w:p/>
    <w:p>
      <w:r>
        <w:t xml:space="preserve">InsurTech Cloud Solutions — Chief Technology Officer</w:t>
      </w:r>
    </w:p>
    <w:p>
      <w:r>
        <w:t xml:space="preserve">New York, NY | Apr 2014 – Mar 2017</w:t>
      </w:r>
    </w:p>
    <w:p>
      <w:r>
        <w:t xml:space="preserve">[NOT COMPLETED: insurtech — generated narrative and bullets were not produced in this run]</w:t>
      </w:r>
    </w:p>
    <w:p/>
    <w:p>
      <w:r>
        <w:t xml:space="preserve">Ernst &amp; Young — Principal</w:t>
      </w:r>
    </w:p>
    <w:p>
      <w:r>
        <w:t xml:space="preserve">New York, NY | Oct 2009 – Mar 2014</w:t>
      </w:r>
    </w:p>
    <w:p>
      <w:r>
        <w:t xml:space="preserve">[NOT COMPLETED: ey — generated narrative and bullets were not produced in this run]</w:t>
      </w:r>
    </w:p>
    <w:p/>
    <w:p>
      <w:r>
        <w:t xml:space="preserve">Early Career Roles — Actuarial Consultant and Quantitative Roles</w:t>
      </w:r>
    </w:p>
    <w:p>
      <w:r>
        <w:t xml:space="preserve">Philadelphia, PA | Oct 2002 – Sep 2009</w:t>
      </w:r>
    </w:p>
    <w:p>
      <w:r>
        <w:t xml:space="preserve">• Actuarial &amp; Quantitative Foundation: As a Fellow of the Society of Actuaries (FSA), priced exotic derivatives and structured multi-Greek hedging strategies, built stochastic capital models, and supported HPC-based valuation frameworks for scenario testing and capital adequacy — the quantitative rigor and risk discipline that now underpin my work in AI platform architecture and runtime governance.</w:t>
      </w:r>
    </w:p>
    <w:p/>
    <w:p>
      <w:pPr>
        <w:pStyle w:val="Heading1"/>
      </w:pPr>
      <w:r>
        <w:t xml:space="preserve">EDUCATION</w:t>
      </w:r>
    </w:p>
    <w:p>
      <w:r>
        <w:t xml:space="preserve">Master of Science in Biostatistics, Columbia University (Graduated with Distinction)</w:t>
      </w:r>
    </w:p>
    <w:p>
      <w:r>
        <w:t xml:space="preserve">Bachelor of Arts in Biology, Brown University (Graduated Cum Laude)</w:t>
      </w:r>
    </w:p>
    <w:p/>
    <w:p>
      <w:pPr>
        <w:pStyle w:val="Heading1"/>
      </w:pPr>
      <w:r>
        <w:t xml:space="preserve">CERTIFICATIONS &amp; CREDENTIALS</w:t>
      </w:r>
    </w:p>
    <w:p>
      <w:r>
        <w:t xml:space="preserve">Certified Machine Learning Engineer – Associate, AWS, 2025</w:t>
      </w:r>
    </w:p>
    <w:p>
      <w:r>
        <w:t xml:space="preserve">Databricks Lakehouse Fundamentals Accreditation, 2023</w:t>
      </w:r>
    </w:p>
    <w:p>
      <w:r>
        <w:t xml:space="preserve">Certified Solutions Architect – Professional, AWS, 2023</w:t>
      </w:r>
    </w:p>
    <w:p>
      <w:r>
        <w:t xml:space="preserve">Fellow of the Society of Actuaries, 2010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szCs w:val="20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80"/>
    </w:pPr>
    <w:rPr>
      <w:b/>
      <w:sz w:val="36"/>
      <w:szCs w:val="36"/>
    </w:rPr>
  </w:style>
  <w:style w:type="paragraph" w:styleId="Heading1">
    <w:name w:val="heading 1"/>
    <w:basedOn w:val="Normal"/>
    <w:pPr>
      <w:keepNext/>
      <w:spacing w:before="180" w:after="60"/>
    </w:pPr>
    <w:rPr>
      <w:b/>
      <w:color w:val="1F3A5F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