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Alliance Co-Sell Motions | Runtime Reliability Governance | Enterprise Portfolio Expansion</w:t>
      </w:r>
    </w:p>
    <w:p/>
    <w:p>
      <w:pPr>
        <w:pStyle w:val="Heading1"/>
      </w:pPr>
      <w:r>
        <w:t xml:space="preserve">EXECUTIVE SUMMARY</w:t>
      </w:r>
    </w:p>
    <w:p>
      <w:r>
        <w:t xml:space="preserve">An engineering executive leads governed agentic AI platform architecture and regulated release-delivery discipline as one integrated operating model. Designs an SVP-level agentic platform control plane spanning agent workflow coordination contracts, human override escalation paths, and controlled execution surfaces that keep autonomous systems auditable at enterprise scale. Software dependency graph intelligence enables accelerated legacy-system analysis, exposes architecture dependency chains, and improves transformation visibility across enterprise complexity. In parallel, that same governed runtime discipline extends into productized platform leadership, turning platform architecture into an operating asset rather than a one-off build. That operating foundation also converted platform productization into $22M in IP-led revenue while scaling team capacity behind the platform. This combination of governed runtime architecture, release-security discipline, and platform commercialization leadership positions the executive to translate frontier AI capability into repeatable, partner-ready enterprise deployment patterns.</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make governed agentic AI a repeatable enterprise capability, uniting control-plane architecture, lifecycle discipline, distributed platform foundations, and an IP-led commercial operating model that supported durable enterprise adoption across regulated markets.</w:t>
      </w:r>
    </w:p>
    <w:p>
      <w:r>
        <w:t xml:space="preserve">• Architected a governed policy-gated agent execution surface for enterprise AI workflows, combining L0 route-policy dispatch, multi-agent orchestration contracts, and human override escalation paths to keep production agents auditable and controllable.</w:t>
      </w:r>
    </w:p>
    <w:p>
      <w:r>
        <w:t xml:space="preserve">• Drove CFO-aligned enterprise adoption motions tied to reusable AI platform commercialization, pairing usage-based subscription forecasting with partner deal support to expand recurring enterprise engagement.</w:t>
      </w:r>
    </w:p>
    <w:p>
      <w:r>
        <w:t xml:space="preserve">• Delivered audit-grade runtime observability coverage for regulated AI workflows by instituting evaluation gates, telemetry instrumentation, and rollback controls across production agent execution.</w:t>
      </w:r>
    </w:p>
    <w:p>
      <w:r>
        <w:t xml:space="preserve">• Standardized the AI systems lifecycle from intake through production monitoring, compressing lab-to-production cycle time from six months to three weeks through replayable runtime design.</w:t>
      </w:r>
    </w:p>
    <w:p>
      <w:r>
        <w:t xml:space="preserve">• Engineered high-availability distributed service patterns for enterprise AI platforms, integrating Databricks Lakehouse data pipelines and dense-sparse retrieval design across cloud-native execution layers.</w:t>
      </w:r>
    </w:p>
    <w:p>
      <w:r>
        <w:t xml:space="preserve">• Scaled the platform engineering team from 8 to 28 while converting bespoke client delivery into reusable AI platform IP through an operating model built for agentic platform commercialization.</w:t>
      </w:r>
    </w:p>
    <w:p/>
    <w:p>
      <w:r>
        <w:t xml:space="preserve">IBM — Partner</w:t>
      </w:r>
    </w:p>
    <w:p>
      <w:r>
        <w:t xml:space="preserve">Edgewater, NJ | Apr 2017 – Oct 2022</w:t>
      </w:r>
    </w:p>
    <w:p>
      <w:r>
        <w:t xml:space="preserve">Drove AWS alliance and technical discovery at IBM for enterprise financial-services pursuits, establishing BI-backed reference architectures and repeatable modernization guidance that aligned complex technical choices with executive operating decisions across regulated client portfolios.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