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[NOT COMPLETED: headline — missing_or_empty_headline]</w:t>
      </w:r>
    </w:p>
    <w:p/>
    <w:p>
      <w:pPr>
        <w:pStyle w:val="Heading1"/>
      </w:pPr>
      <w:r>
        <w:t xml:space="preserve">EXECUTIVE SUMMARY</w:t>
      </w:r>
    </w:p>
    <w:p>
      <w:r>
        <w:t xml:space="preserve">[NOT COMPLETED: executive_summary — missing_or_empty_executive_summary]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[NOT COMPLETED: competencies — missing_competencies_or_empty_graph_skills_signal]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[NOT COMPLETED: unify — unify_bullets and unify_narrative did not produce finalized content]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[NOT COMPLETED: ibm — ibm_bullets and ibm_narrative did not produce finalized content]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[NOT COMPLETED: insurtech — generated narrative and bullets were not produced in this run]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[NOT COMPLETED: ey — generated narrative and bullets were not produced in this run]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As a Fellow of the Society of Actuaries (FSA), priced exotic derivatives and structured multi-Greek hedging strategies, built stochastic capital models, and supported HPC-based valuation frameworks for scenario testing and capital adequacy — the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