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Amit Ayer</w:t>
      </w:r>
    </w:p>
    <w:p>
      <w:r>
        <w:t xml:space="preserve">+1-917-239-3830 | amitayer1@gmail.com | linkedin.com/in/amitayer1 | github.com/Siamese001/Agentic-Workflow</w:t>
      </w:r>
    </w:p>
    <w:p/>
    <w:p>
      <w:pPr>
        <w:pStyle w:val="Heading1"/>
      </w:pPr>
      <w:r>
        <w:t xml:space="preserve">HEADLINE</w:t>
      </w:r>
    </w:p>
    <w:p>
      <w:r>
        <w:t xml:space="preserve">SVP Engineering | Hyperscaler Alliance Co-Sell | Runtime Governance Telemetry | Enterprise Portfolio Leadership</w:t>
      </w:r>
    </w:p>
    <w:p/>
    <w:p>
      <w:pPr>
        <w:pStyle w:val="Heading1"/>
      </w:pPr>
      <w:r>
        <w:t xml:space="preserve">EXECUTIVE SUMMARY</w:t>
      </w:r>
    </w:p>
    <w:p>
      <w:r>
        <w:t xml:space="preserve">Engineering executive who aligns regulated release discipline and governed agentic platform architecture into a single operating model for enterprise-scale delivery. As SVP of Engineering, that leader architected the agentic AI platform control plane that now anchors production deployment. Software dependency graph intelligence enables accelerated legacy-system analysis, exposes architecture dependency chains, and improves transformation visibility across enterprise complexity. In parallel, replay-key controls manifests pair with human-override escalation paths to keep the runtime auditable rather than opaque. The same platform discipline carried release automation and security scanning into regulated modernization delivery paths, reinforcing production reliability across programs. That governed architecture and delivery lineage together drove platform productization and IP-led revenue growth, generating $22M in monetized platform IP and establishing a repeatable model for scaling governed AI systems into new enterprise and partner contexts.</w:t>
      </w:r>
    </w:p>
    <w:p/>
    <w:p>
      <w:pPr>
        <w:pStyle w:val="Heading1"/>
      </w:pPr>
      <w:r>
        <w:t xml:space="preserve">ENGINEERING &amp; PLATFORM COMPETENCIES</w:t>
      </w:r>
    </w:p>
    <w:p>
      <w:r>
        <w:t xml:space="preserve">Partner AI Architecture &amp; Commercialization: Buyer-specific solution mapping for enterprise pursuits, Partner AI solution architecture and co-sell execution, Enterprise pursuit execution across portfolio expansion motions, Partner value-realization operating cadence and deal support, AI co-sell bundling with strategic partners</w:t>
      </w:r>
    </w:p>
    <w:p>
      <w:r>
        <w:t xml:space="preserve">Governed AI Platforms &amp; Reliability: Agentic platform route-policy dispatch architecture, Regulated DevSecOps release governance pipelines, governed multi-agent orchestration control planes</w:t>
      </w:r>
    </w:p>
    <w:p>
      <w:r>
        <w:t xml:space="preserve">Enterprise Architecture &amp; Delivery: Presales-to-delivery customer success operating handoff cadence, relationship-grounded context retrieval for enterprise workflows, dense-sparse retrieval with relationship-aware ranking</w:t>
      </w:r>
    </w:p>
    <w:p/>
    <w:p>
      <w:pPr>
        <w:pStyle w:val="Heading1"/>
      </w:pPr>
      <w:r>
        <w:t xml:space="preserve">PROFESSIONAL EXPERIENCE</w:t>
      </w:r>
    </w:p>
    <w:p/>
    <w:p>
      <w:r>
        <w:t xml:space="preserve">Unify Consulting — SVP Engineering, Agentic AI Platforms</w:t>
      </w:r>
    </w:p>
    <w:p>
      <w:r>
        <w:t xml:space="preserve">Boca Raton, FL | Feb 2023 – Present</w:t>
      </w:r>
    </w:p>
    <w:p>
      <w:r>
        <w:t xml:space="preserve">Owned Unify Consulting’s mandate to make governed agentic AI a repeatable enterprise business, linking control-plane architecture, an industrialized delivery model, and alliance distribution so regulated clients could adopt dependable solutions while reusable IP strengthened the platform’s commercial engine.</w:t>
      </w:r>
    </w:p>
    <w:p>
      <w:r>
        <w:t xml:space="preserve">• Architected governed agentic systems architecture with multi-agent orchestration and GraphRAG grounding, establishing a policy-gated agent execution surface for governed enterprise AI workflows in regulated financial institutions.</w:t>
      </w:r>
    </w:p>
    <w:p>
      <w:r>
        <w:t xml:space="preserve">• Drove CFO-aligned enterprise adoption motions tied to reusable AI platform commercialization through consumption-based licensing and partner-led deal support.</w:t>
      </w:r>
    </w:p>
    <w:p>
      <w:r>
        <w:t xml:space="preserve">• Delivered audit-grade runtime observability coverage for regulated AI workflows through evaluation gates, telemetry instrumentation, and rollback controls.</w:t>
      </w:r>
    </w:p>
    <w:p>
      <w:r>
        <w:t xml:space="preserve">• Standardized the AI systems lifecycle from intake through production monitoring, compressing lab-to-production cycle time from six months to three weeks.</w:t>
      </w:r>
    </w:p>
    <w:p>
      <w:r>
        <w:t xml:space="preserve">• Engineered distributed cloud data runtime integration patterns across Databricks, vector services, and API gateways to support high-availability agentic workloads.</w:t>
      </w:r>
    </w:p>
    <w:p>
      <w:r>
        <w:t xml:space="preserve">• Converted bespoke delivery into reusable platform IP under an agentic AI operating model, scaling the engineering team from 8 to 28 while commercializing the platform.</w:t>
      </w:r>
    </w:p>
    <w:p/>
    <w:p>
      <w:r>
        <w:t xml:space="preserve">IBM — Partner</w:t>
      </w:r>
    </w:p>
    <w:p>
      <w:r>
        <w:t xml:space="preserve">Edgewater, NJ | Apr 2017 – Oct 2022</w:t>
      </w:r>
    </w:p>
    <w:p>
      <w:r>
        <w:t xml:space="preserve">Championed AWS alliance GTM at IBM, establishing disciplined solution architecture and technical validation across complex enterprise pursuits for stronger executive buyer alignment and more consistent decision-making.</w:t>
      </w:r>
    </w:p>
    <w:p>
      <w:r>
        <w:t xml:space="preserve">• Led IBM-AWS alliance co-sell motions for financial-services modernization opportunities, delivering 20% joint revenue growth.</w:t>
      </w:r>
    </w:p>
    <w:p>
      <w:r>
        <w:t xml:space="preserve">• Built decision-support data models and BI views that connected modernization programs to executive operating decisions.</w:t>
      </w:r>
    </w:p>
    <w:p>
      <w:r>
        <w:t xml:space="preserve">• Led technical discovery and solution architecture mapping for enterprise financial-services pursuits.</w:t>
      </w:r>
    </w:p>
    <w:p>
      <w:r>
        <w:t xml:space="preserve">• Prioritized enterprise pursuits using solution-architecture feasibility reviews, account context, and buyer readiness, connecting technical validation to executive deal support.</w:t>
      </w:r>
    </w:p>
    <w:p>
      <w:r>
        <w:t xml:space="preserve">• Architected industry-specific AI, analytics, and cloud modernization reference architectures for financial-services decision support.</w:t>
      </w:r>
    </w:p>
    <w:p/>
    <w:p>
      <w:r>
        <w:t xml:space="preserve">InsurTech Cloud Solutions — Chief Technology Officer</w:t>
      </w:r>
    </w:p>
    <w:p>
      <w:r>
        <w:t xml:space="preserve">New York, NY | Apr 2014 – Mar 2017</w:t>
      </w:r>
    </w:p>
    <w:p>
      <w:r>
        <w:t xml:space="preserve">Led AWS modernization execution for monolithic policy administration and insurance platform workloads.</w:t>
      </w:r>
    </w:p>
    <w:p>
      <w:r>
        <w:t xml:space="preserve">• Implemented SOC 2-aligned AWS controls for regulated insurers adopting analytics and ML.</w:t>
      </w:r>
    </w:p>
    <w:p>
      <w:r>
        <w:t xml:space="preserve">• Built safety operating-model framing around AWS shared responsibility and insurer-owned controls.</w:t>
      </w:r>
    </w:p>
    <w:p/>
    <w:p>
      <w:r>
        <w:t xml:space="preserve">Ernst &amp; Young — Principal</w:t>
      </w:r>
    </w:p>
    <w:p>
      <w:r>
        <w:t xml:space="preserve">New York, NY | Oct 2009 – Mar 2014</w:t>
      </w:r>
    </w:p>
    <w:p>
      <w:r>
        <w:t xml:space="preserve">Led quantitative derivatives, variable-annuity hedging, and insurance-capital work using exotic pricing, liability Greeks, higher-order stress testing, and hedge design.</w:t>
      </w:r>
    </w:p>
    <w:p>
      <w:r>
        <w:t xml:space="preserve">• Led CCAR-era capital, liquidity, stress testing, and model-validation work by structuring traceable scenarios, challenger variants, model-risk remediation, and governance evidence for regulated financial institutions.</w:t>
      </w:r>
    </w:p>
    <w:p>
      <w:r>
        <w:t xml:space="preserve">• Architected ERM operating models and BCBS 239-aligned risk-data aggregation by defining three-lines-of-defense accountability, metadata standards, and auditable risk metrics.</w:t>
      </w:r>
    </w:p>
    <w:p/>
    <w:p>
      <w:r>
        <w:t xml:space="preserve">Early Career Roles — Actuarial Consultant and Quantitative Roles</w:t>
      </w:r>
    </w:p>
    <w:p>
      <w:r>
        <w:t xml:space="preserve">Philadelphia, PA | Oct 2002 – Sep 2009</w:t>
      </w:r>
    </w:p>
    <w:p>
      <w:r>
        <w:t xml:space="preserve">• Actuarial &amp; Quantitative Foundation: Priced exotic derivatives and structured multi-Greek hedging strategies, built stochastic capital models, and supported HPC-based valuation frameworks for scenario testing and capital adequacy — quantitative rigor and risk discipline that now underpin my work in AI platform architecture and runtime governance.</w:t>
      </w:r>
    </w:p>
    <w:p/>
    <w:p>
      <w:pPr>
        <w:pStyle w:val="Heading1"/>
      </w:pPr>
      <w:r>
        <w:t xml:space="preserve">EDUCATION</w:t>
      </w:r>
    </w:p>
    <w:p>
      <w:r>
        <w:t xml:space="preserve">Master of Science in Biostatistics, Columbia University (Graduated with Distinction)</w:t>
      </w:r>
    </w:p>
    <w:p>
      <w:r>
        <w:t xml:space="preserve">Bachelor of Arts in Biology, Brown University (Graduated Cum Laude)</w:t>
      </w:r>
    </w:p>
    <w:p/>
    <w:p>
      <w:pPr>
        <w:pStyle w:val="Heading1"/>
      </w:pPr>
      <w:r>
        <w:t xml:space="preserve">CERTIFICATIONS &amp; CREDENTIALS</w:t>
      </w:r>
    </w:p>
    <w:p>
      <w:r>
        <w:t xml:space="preserve">Certified Machine Learning Engineer – Associate, AWS, 2025</w:t>
      </w:r>
    </w:p>
    <w:p>
      <w:r>
        <w:t xml:space="preserve">Databricks Lakehouse Fundamentals Accreditation, 2023</w:t>
      </w:r>
    </w:p>
    <w:p>
      <w:r>
        <w:t xml:space="preserve">Certified Solutions Architect – Professional, AWS, 2023</w:t>
      </w:r>
    </w:p>
    <w:p>
      <w:r>
        <w:t xml:space="preserve">Fellow of the Society of Actuaries, 2010</w:t>
      </w:r>
    </w:p>
    <w:sectPr>
      <w:pgSz w:w="12240" w:h="15840"/>
      <w:pgMar w:top="720" w:right="720" w:bottom="720" w:left="720" w:header="360" w:footer="360" w:gutter="0"/>
    </w:sectPr>
  </w:body>
</w:document>
</file>

<file path=word/styles.xml><?xml version="1.0" encoding="utf-8"?>
<w:styles xmlns:w="http://schemas.openxmlformats.org/wordprocessingml/2006/main">
  <w:docDefaults>
    <w:rPrDefault>
      <w:rPr>
        <w:rFonts w:ascii="Aptos" w:hAnsi="Aptos"/>
        <w:sz w:val="20"/>
        <w:szCs w:val="20"/>
      </w:rPr>
    </w:rPrDefault>
    <w:pPrDefault>
      <w:pPr>
        <w:spacing w:after="80"/>
      </w:pPr>
    </w:pPrDefault>
  </w:docDefaults>
  <w:style w:type="paragraph" w:default="1" w:styleId="Normal">
    <w:name w:val="Normal"/>
  </w:style>
  <w:style w:type="paragraph" w:styleId="Title">
    <w:name w:val="Title"/>
    <w:basedOn w:val="Normal"/>
    <w:pPr>
      <w:jc w:val="center"/>
      <w:spacing w:after="80"/>
    </w:pPr>
    <w:rPr>
      <w:b/>
      <w:sz w:val="36"/>
      <w:szCs w:val="36"/>
    </w:rPr>
  </w:style>
  <w:style w:type="paragraph" w:styleId="Heading1">
    <w:name w:val="heading 1"/>
    <w:basedOn w:val="Normal"/>
    <w:pPr>
      <w:keepNext/>
      <w:spacing w:before="180" w:after="60"/>
    </w:pPr>
    <w:rPr>
      <w:b/>
      <w:color w:val="1F3A5F"/>
      <w:sz w:val="22"/>
      <w:szCs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