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Alliance Co-Sell Motions | Runtime Governance Telemetry | Quota Aligned Solution Pursuits</w:t>
      </w:r>
    </w:p>
    <w:p/>
    <w:p>
      <w:pPr>
        <w:pStyle w:val="Heading1"/>
      </w:pPr>
      <w:r>
        <w:t xml:space="preserve">EXECUTIVE SUMMARY</w:t>
      </w:r>
    </w:p>
    <w:p>
      <w:r>
        <w:t xml:space="preserve">Technology strategy executive who aligns governed agentic AI platform architecture, release resilience discipline, and platform commercialization leadership across regulated enterprise programs. Designs the agentic platform control plane, where route policy dispatch and replay key controls manifest lineage keep autonomous execution traceable. Software dependency graph intelligence enables accelerated legacy-system analysis, exposes architecture dependency chains, and improves transformation visibility across enterprise complexity. From that platform foundation, automated release pipelines paired with pipeline security controls establish repeatable deployment blueprints with measured security scanning coverage across delivery paths. In parallel, policy-gated agent execution surfaces extend that architecture into the runtime layer, with tool sandbox egress controls bounding what agents can reach. That governed platform work has translated into platform productization and commercialization leadership, generating $22M in IP-led platform revenue while scaling the engineering team from 8 to 28 specialists to sustain continued growth.</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connecting control-plane architecture, a productized operating model, and alliance distribution so regulated enterprise clients could adopt reusable IP and scalable platform services with consistent deployment quality.</w:t>
      </w:r>
    </w:p>
    <w:p>
      <w:r>
        <w:t xml:space="preserve">• Owned architecture for a policy-gated agent execution surface powering governed enterprise AI workflows across L0 route-policy dispatch and runtime proof bundle lineage.</w:t>
      </w:r>
    </w:p>
    <w:p>
      <w:r>
        <w:t xml:space="preserve">• Directed CFO-aligned enterprise adoption motions tied to reusable AI platform commercialization through partner-supported deal cycles and usage-based forecasting.</w:t>
      </w:r>
    </w:p>
    <w:p>
      <w:r>
        <w:t xml:space="preserve">• Instituted evaluation gates and telemetry-driven rollback controls that delivered audit-grade runtime observability coverage for regulated AI workflows.</w:t>
      </w:r>
    </w:p>
    <w:p>
      <w:r>
        <w:t xml:space="preserve">• Standardized the AI systems lifecycle so client deployments move lab to production in three weeks, down from six months, through managed workflow orchestration.</w:t>
      </w:r>
    </w:p>
    <w:p>
      <w:r>
        <w:t xml:space="preserve">• Engineered distributed cloud execution infrastructure spanning cloud data/runtime integration patterns across Databricks, vector services, and API gateways.</w:t>
      </w:r>
    </w:p>
    <w:p>
      <w:r>
        <w:t xml:space="preserve">• Converted bespoke delivery into reusable platform IP while the engineering team scaled from 8 to 28 to support platform commercialization.</w:t>
      </w:r>
    </w:p>
    <w:p/>
    <w:p>
      <w:r>
        <w:t xml:space="preserve">IBM — Partner</w:t>
      </w:r>
    </w:p>
    <w:p>
      <w:r>
        <w:t xml:space="preserve">Edgewater, NJ | Apr 2017 – Oct 2022</w:t>
      </w:r>
    </w:p>
    <w:p>
      <w:r>
        <w:t xml:space="preserve">Championed partner-led solution architecture across IBM’s financial-services modernization portfolio, establishing an executive operating discipline that connected AWS alliance motions with buyer-informed technical validation and repeatable pathways to executive deal support.</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