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Reliability Governance | Enterprise Portfolio Expansion</w:t>
      </w:r>
    </w:p>
    <w:p/>
    <w:p>
      <w:pPr>
        <w:pStyle w:val="Heading1"/>
      </w:pPr>
      <w:r>
        <w:t xml:space="preserve">EXECUTIVE SUMMARY</w:t>
      </w:r>
    </w:p>
    <w:p>
      <w:r>
        <w:t xml:space="preserve">An engineering executive builds governed agentic AI platform architecture spanning route policy dispatch and sandboxed execution boundaries. That control-plane design gives every agent action a traceable, policy-gated path rather than open-ended autonomy. Human override and escalation paths sit alongside that dispatch layer, keeping accountability with operators at each decision point. In parallel, release automation and security scanning were embedded directly into regulated modernization delivery paths, strengthening release resilience across production rollouts. Software dependency graph intelligence enables accelerated legacy-system analysis, exposes architecture dependency chains, and improves transformation visibility across enterprise complexity. That combined architecture, governance, and delivery track record underpins platform productization leadership that has driven IP-led revenue growth and expanding team scale, positioning that leadership for partner-facing AI architecture roles focused on monetizing enterprise platform adoption.</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into a durable commercial operating model, connecting platform architecture with repeatable delivery and alliance distribution for regulated enterprise adoption at scale across complex enterprise workflows.</w:t>
      </w:r>
    </w:p>
    <w:p>
      <w:r>
        <w:t xml:space="preserve">• Architected a policy-gated agent execution surface for governed enterprise AI workflows, establishing L0 route-policy dispatch and runtime proof-bundle lineage as the control-plane foundation for production agentic delivery.</w:t>
      </w:r>
    </w:p>
    <w:p>
      <w:r>
        <w:t xml:space="preserve">• Built CFO-aligned enterprise adoption motions tied to reusable AI platform commercialization, translating partner and customer deal support into repeatable, revenue-linked adoption pathways.</w:t>
      </w:r>
    </w:p>
    <w:p>
      <w:r>
        <w:t xml:space="preserve">• Delivered audit-grade runtime observability coverage for regulated AI workflows by instituting evaluation gates, telemetry, and rollback controls across the production agent runtime.</w:t>
      </w:r>
    </w:p>
    <w:p>
      <w:r>
        <w:t xml:space="preserve">• Standardized the AI systems lifecycle from intake through monitoring, compressing lab-to-production cycle time from six months to three weeks while preserving deterministic auditability.</w:t>
      </w:r>
    </w:p>
    <w:p>
      <w:r>
        <w:t xml:space="preserve">• Architected distributed cloud data runtime integration patterns across Databricks Lakehouse, vector services, and API gateways, applying dense sparse exact retrieval design and provider egress governance.</w:t>
      </w:r>
    </w:p>
    <w:p>
      <w:r>
        <w:t xml:space="preserve">• Converted bespoke delivery into commercialized platform IP while scaling the engineering team from 8 to 28, building the operating model behind reusable agentic AI capability.</w:t>
      </w:r>
    </w:p>
    <w:p/>
    <w:p>
      <w:r>
        <w:t xml:space="preserve">IBM — Partner</w:t>
      </w:r>
    </w:p>
    <w:p>
      <w:r>
        <w:t xml:space="preserve">Edgewater, NJ | Apr 2017 – Oct 2022</w:t>
      </w:r>
    </w:p>
    <w:p>
      <w:r>
        <w:t xml:space="preserve">Championed AWS-enabled partner solution architecture for enterprise modernization at IBM, establishing a disciplined operating path from technical discovery through executive decisions to repeatable, industry-specific financial-services decision support, stronger partner execution, and durable client value across portfolios.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