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Amit Ayer</w:t>
      </w:r>
    </w:p>
    <w:p>
      <w:r>
        <w:t xml:space="preserve">+1-917-239-3830 | amitayer1@gmail.com | linkedin.com/in/amitayer1 | github.com/Siamese001/Agentic-Workflow</w:t>
      </w:r>
    </w:p>
    <w:p/>
    <w:p>
      <w:pPr>
        <w:pStyle w:val="Heading1"/>
      </w:pPr>
      <w:r>
        <w:t xml:space="preserve">HEADLINE</w:t>
      </w:r>
    </w:p>
    <w:p>
      <w:r>
        <w:t xml:space="preserve">SVP Engineering | Hyperscaler Alliance Co-Sell | Runtime Governance Telemetry | Enterprise Solution Leadership</w:t>
      </w:r>
    </w:p>
    <w:p/>
    <w:p>
      <w:pPr>
        <w:pStyle w:val="Heading1"/>
      </w:pPr>
      <w:r>
        <w:t xml:space="preserve">EXECUTIVE SUMMARY</w:t>
      </w:r>
    </w:p>
    <w:p>
      <w:r>
        <w:t xml:space="preserve">Technology strategy executive who aligns governed agentic AI platform architecture, regulated release discipline, and platform commercialization into one enterprise AI leadership agenda. Software dependency graph intelligence enables accelerated legacy-system analysis, exposes architecture dependency chains, and improves transformation visibility across enterprise complexity. Against that architectural backdrop, release automation and security scanning are embedded into regulated modernization delivery paths, keeping platform velocity aligned with control requirements. In parallel, replay-key controls manifest design paired with policy-gated agent execution surfaces gives operating teams traceable evidence of governed runtime behavior. The same platform discipline underpins commercialization work that generated $22M in IP-led revenue while growing the platform team's specialist capacity and expanding monetization of platform IP. Governed architecture, release resilience, and IP-led revenue growth together position enterprise AI adoption on a durable, partner-ready operating foundation.</w:t>
      </w:r>
    </w:p>
    <w:p/>
    <w:p>
      <w:pPr>
        <w:pStyle w:val="Heading1"/>
      </w:pPr>
      <w:r>
        <w:t xml:space="preserve">ENGINEERING &amp; PLATFORM COMPETENCIES</w:t>
      </w:r>
    </w:p>
    <w:p>
      <w:r>
        <w:t xml:space="preserve">Cloud &amp; Partner Ecosystems: partner-ready applied AI reference architectures, Buyer-specific solution mapping for enterprise pursuits, Partner AI solution architecture and co-sell execution</w:t>
      </w:r>
    </w:p>
    <w:p>
      <w:r>
        <w:t xml:space="preserve">AI Platform Leadership: governed multi-agent orchestration control planes, agentic workflow routing across enterprise systems, Agentic platform route-policy dispatch architecture</w:t>
      </w:r>
    </w:p>
    <w:p>
      <w:r>
        <w:t xml:space="preserve">Governance, Risk &amp; Compliance: fail-closed runtime control gate design, policy enforcement across agent execution paths, Regulated DevSecOps release governance pipelines</w:t>
      </w:r>
    </w:p>
    <w:p>
      <w:r>
        <w:t xml:space="preserve">Technology Strategy &amp; Innovation: relationship-grounded context retrieval for enterprise workflows, dense-sparse retrieval with relationship-aware ranking, authority-ordered prompt context assembly pipelines</w:t>
      </w:r>
    </w:p>
    <w:p>
      <w:r>
        <w:t xml:space="preserve">Commercial &amp; Operating Impact: Enterprise pursuit execution across portfolio expansion motions, Partner value-realization operating cadence and deal support, AI co-sell bundling with strategic partners</w:t>
      </w:r>
    </w:p>
    <w:p>
      <w:r>
        <w:t xml:space="preserve">LLMOps &amp; Reliability: audit-ready agent reliability evidence for governed systems, evaluation gauntlets for behavior assurance, production reliability lifecycle for agentic workflows</w:t>
      </w:r>
    </w:p>
    <w:p>
      <w:r>
        <w:t xml:space="preserve">Data &amp; Analytics Modernization: cloud-native AI data reference architectures, microservices integration for regulated ecosystems, lakehouse modernization for decision intelligence</w:t>
      </w:r>
    </w:p>
    <w:p>
      <w:r>
        <w:t xml:space="preserve">Engineering &amp; Delivery Leadership: executive-aligned technical discovery operating cadences, cross-functional enterprise solution architecture delivery governance, Presales-to-delivery customer success operating handoff cadence</w:t>
      </w:r>
    </w:p>
    <w:p/>
    <w:p>
      <w:pPr>
        <w:pStyle w:val="Heading1"/>
      </w:pPr>
      <w:r>
        <w:t xml:space="preserve">PROFESSIONAL EXPERIENCE</w:t>
      </w:r>
    </w:p>
    <w:p/>
    <w:p>
      <w:r>
        <w:t xml:space="preserve">Unify Consulting — SVP Engineering, Agentic AI Platforms</w:t>
      </w:r>
    </w:p>
    <w:p>
      <w:r>
        <w:t xml:space="preserve">Boca Raton, FL | Feb 2023 – Present</w:t>
      </w:r>
    </w:p>
    <w:p>
      <w:r>
        <w:t xml:space="preserve">Owned Unify Consulting’s mandate to industrialize governed agentic AI, linking control-plane architecture, a productized delivery model, and alliance distribution into reusable IP that enabled regulated-enterprise adoption and turned bespoke expertise into scalable platform services.</w:t>
      </w:r>
    </w:p>
    <w:p>
      <w:r>
        <w:t xml:space="preserve">• Architected governed agentic systems using L0 route-policy dispatch and runtime proof bundle lineage to deliver a policy-gated agent execution surface for governed enterprise AI workflows.</w:t>
      </w:r>
    </w:p>
    <w:p>
      <w:r>
        <w:t xml:space="preserve">• Built CFO-aligned enterprise adoption motions tied to reusable AI platform commercialization, aligning enterprise workflow adoption with revenue and renewal priorities.</w:t>
      </w:r>
    </w:p>
    <w:p>
      <w:r>
        <w:t xml:space="preserve">• Established runtime resilience controls and context engineering practices that delivered audit-grade runtime observability coverage for regulated AI workflows.</w:t>
      </w:r>
    </w:p>
    <w:p>
      <w:r>
        <w:t xml:space="preserve">• Standardized managed workflow orchestration and replayable runtime design, compressing the AI systems lifecycle from six months to three weeks.</w:t>
      </w:r>
    </w:p>
    <w:p>
      <w:r>
        <w:t xml:space="preserve">• Engineered cloud data and runtime integration patterns across Databricks Lakehouse, vector services, and API gateways to support distributed AI execution infrastructure.</w:t>
      </w:r>
    </w:p>
    <w:p>
      <w:r>
        <w:t xml:space="preserve">• Led AI platform commercialization and agentic platform productization, scaling the engineering team from 8 to 28 while building a reusable IT strategy and innovation operating model.</w:t>
      </w:r>
    </w:p>
    <w:p/>
    <w:p>
      <w:r>
        <w:t xml:space="preserve">IBM — Partner</w:t>
      </w:r>
    </w:p>
    <w:p>
      <w:r>
        <w:t xml:space="preserve">Edgewater, NJ | Apr 2017 – Oct 2022</w:t>
      </w:r>
    </w:p>
    <w:p>
      <w:r>
        <w:t xml:space="preserve">Championed AWS alliance and solution architecture at IBM, establishing BI-supported executive decision discipline for technically qualified enterprise pursuits.</w:t>
      </w:r>
    </w:p>
    <w:p>
      <w:r>
        <w:t xml:space="preserve">• Led IBM-AWS alliance co-sell motions for financial-services modernization opportunities, delivering 20% joint revenue growth.</w:t>
      </w:r>
    </w:p>
    <w:p>
      <w:r>
        <w:t xml:space="preserve">• Built decision-support data models and BI views that connected modernization programs to executive operating decisions.</w:t>
      </w:r>
    </w:p>
    <w:p>
      <w:r>
        <w:t xml:space="preserve">• Led technical discovery and solution architecture mapping for enterprise financial-services pursuits.</w:t>
      </w:r>
    </w:p>
    <w:p>
      <w:r>
        <w:t xml:space="preserve">• Prioritized enterprise pursuits using solution-architecture feasibility reviews, account context, and buyer readiness, connecting technical validation to executive deal support.</w:t>
      </w:r>
    </w:p>
    <w:p>
      <w:r>
        <w:t xml:space="preserve">• Architected industry-specific AI, analytics, and cloud modernization reference architectures for financial-services decision support.</w:t>
      </w:r>
    </w:p>
    <w:p/>
    <w:p>
      <w:r>
        <w:t xml:space="preserve">InsurTech Cloud Solutions — Chief Technology Officer</w:t>
      </w:r>
    </w:p>
    <w:p>
      <w:r>
        <w:t xml:space="preserve">New York, NY | Apr 2014 – Mar 2017</w:t>
      </w:r>
    </w:p>
    <w:p>
      <w:r>
        <w:t xml:space="preserve">Led AWS modernization execution for monolithic policy administration and insurance platform workloads.</w:t>
      </w:r>
    </w:p>
    <w:p>
      <w:r>
        <w:t xml:space="preserve">• Implemented SOC 2-aligned AWS controls for regulated insurers adopting analytics and ML.</w:t>
      </w:r>
    </w:p>
    <w:p>
      <w:r>
        <w:t xml:space="preserve">• Built safety operating-model framing around AWS shared responsibility and insurer-owned controls.</w:t>
      </w:r>
    </w:p>
    <w:p/>
    <w:p>
      <w:r>
        <w:t xml:space="preserve">Ernst &amp; Young — Principal</w:t>
      </w:r>
    </w:p>
    <w:p>
      <w:r>
        <w:t xml:space="preserve">New York, NY | Oct 2009 – Mar 2014</w:t>
      </w:r>
    </w:p>
    <w:p>
      <w:r>
        <w:t xml:space="preserve">Led quantitative derivatives, variable-annuity hedging, and insurance-capital work using exotic pricing, liability Greeks, higher-order stress testing, and hedge design.</w:t>
      </w:r>
    </w:p>
    <w:p>
      <w:r>
        <w:t xml:space="preserve">• Led CCAR-era capital, liquidity, stress testing, and model-validation work by structuring traceable scenarios, challenger variants, model-risk remediation, and governance evidence for regulated financial institutions.</w:t>
      </w:r>
    </w:p>
    <w:p>
      <w:r>
        <w:t xml:space="preserve">• Architected ERM operating models and BCBS 239-aligned risk-data aggregation by defining three-lines-of-defense accountability, metadata standards, and auditable risk metrics.</w:t>
      </w:r>
    </w:p>
    <w:p/>
    <w:p>
      <w:r>
        <w:t xml:space="preserve">Early Career Roles — Actuarial Consultant and Quantitative Roles</w:t>
      </w:r>
    </w:p>
    <w:p>
      <w:r>
        <w:t xml:space="preserve">Philadelphia, PA | Oct 2002 – Sep 2009</w:t>
      </w:r>
    </w:p>
    <w:p>
      <w:r>
        <w:t xml:space="preserve">• Actuarial &amp; Quantitative Foundation: Priced exotic derivatives and structured multi-Greek hedging strategies, built stochastic capital models, and supported HPC-based valuation frameworks for scenario testing and capital adequacy — quantitative rigor and risk discipline that now underpin my work in AI platform architecture and runtime governance.</w:t>
      </w:r>
    </w:p>
    <w:p/>
    <w:p>
      <w:pPr>
        <w:pStyle w:val="Heading1"/>
      </w:pPr>
      <w:r>
        <w:t xml:space="preserve">EDUCATION</w:t>
      </w:r>
    </w:p>
    <w:p>
      <w:r>
        <w:t xml:space="preserve">Master of Science in Biostatistics, Columbia University (Graduated with Distinction)</w:t>
      </w:r>
    </w:p>
    <w:p>
      <w:r>
        <w:t xml:space="preserve">Bachelor of Arts in Biology, Brown University (Graduated Cum Laude)</w:t>
      </w:r>
    </w:p>
    <w:p/>
    <w:p>
      <w:pPr>
        <w:pStyle w:val="Heading1"/>
      </w:pPr>
      <w:r>
        <w:t xml:space="preserve">CERTIFICATIONS &amp; CREDENTIALS</w:t>
      </w:r>
    </w:p>
    <w:p>
      <w:r>
        <w:t xml:space="preserve">Certified Machine Learning Engineer – Associate, AWS, 2025</w:t>
      </w:r>
    </w:p>
    <w:p>
      <w:r>
        <w:t xml:space="preserve">Databricks Lakehouse Fundamentals Accreditation, 2023</w:t>
      </w:r>
    </w:p>
    <w:p>
      <w:r>
        <w:t xml:space="preserve">Certified Solutions Architect – Professional, AWS, 2023</w:t>
      </w:r>
    </w:p>
    <w:p>
      <w:r>
        <w:t xml:space="preserve">Fellow of the Society of Actuaries, 2010</w:t>
      </w:r>
    </w:p>
    <w:sectPr>
      <w:pgSz w:w="12240" w:h="15840"/>
      <w:pgMar w:top="720" w:right="720" w:bottom="720" w:left="720" w:header="360" w:footer="360" w:gutter="0"/>
    </w:sectPr>
  </w:body>
</w:document>
</file>

<file path=word/styles.xml><?xml version="1.0" encoding="utf-8"?>
<w:styles xmlns:w="http://schemas.openxmlformats.org/wordprocessingml/2006/main">
  <w:docDefaults>
    <w:rPrDefault>
      <w:rPr>
        <w:rFonts w:ascii="Aptos" w:hAnsi="Aptos"/>
        <w:sz w:val="20"/>
        <w:szCs w:val="20"/>
      </w:rPr>
    </w:rPrDefault>
    <w:pPrDefault>
      <w:pPr>
        <w:spacing w:after="80"/>
      </w:pPr>
    </w:pPrDefault>
  </w:docDefaults>
  <w:style w:type="paragraph" w:default="1" w:styleId="Normal">
    <w:name w:val="Normal"/>
  </w:style>
  <w:style w:type="paragraph" w:styleId="Title">
    <w:name w:val="Title"/>
    <w:basedOn w:val="Normal"/>
    <w:pPr>
      <w:jc w:val="center"/>
      <w:spacing w:after="80"/>
    </w:pPr>
    <w:rPr>
      <w:b/>
      <w:sz w:val="36"/>
      <w:szCs w:val="36"/>
    </w:rPr>
  </w:style>
  <w:style w:type="paragraph" w:styleId="Heading1">
    <w:name w:val="heading 1"/>
    <w:basedOn w:val="Normal"/>
    <w:pPr>
      <w:keepNext/>
      <w:spacing w:before="180" w:after="60"/>
    </w:pPr>
    <w:rPr>
      <w:b/>
      <w:color w:val="1F3A5F"/>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