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Co-Sell Motions | Governed Runtime Telemetry | Enterprise Portfolio Expansion</w:t>
      </w:r>
    </w:p>
    <w:p/>
    <w:p>
      <w:pPr>
        <w:pStyle w:val="Heading1"/>
      </w:pPr>
      <w:r>
        <w:t xml:space="preserve">EXECUTIVE SUMMARY</w:t>
      </w:r>
    </w:p>
    <w:p>
      <w:r>
        <w:t xml:space="preserve">An engineering executive leads governed agentic AI platform architecture and regulated release engineering as one integrated leadership arc. Designs the control plane for a multi-agent orchestration system, combining policy-gated routing, human override escalation paths, and replay-key controls manifest lineage into a single traceable runtime. Software dependency graph intelligence enables accelerated legacy-system analysis, exposes architecture dependency chains, and improves transformation visibility across enterprise complexity. In parallel, auditable proof-bundle lineage and sandboxed tool egress policy surfaces give governance teams auditable evidence of every agent action without slowing delivery. That platform and governance foundation converted into productized outcomes, with platform commercialization leadership generating $22M in IP-led revenue while scaling the engineering team behind it. This integrated arc of governed platform architecture, release discipline, and monetized platform IP positions the leader to extend ecosystem-scale technical partnerships on the same operating foundation.</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 Architected a governed, policy-gated agent execution surface for regulated enterprise AI workflows, establishing L0 route-policy dispatch and runtime proof lineage as the control plane for agentic delivery.</w:t>
      </w:r>
    </w:p>
    <w:p>
      <w:r>
        <w:t xml:space="preserve">• Directed CFO-aligned enterprise adoption motions tied to reusable AI platform commercialization by supporting partner-led deal cycles and usage-based subscription forecasting.</w:t>
      </w:r>
    </w:p>
    <w:p>
      <w:r>
        <w:t xml:space="preserve">• Established audit-grade runtime observability coverage for regulated AI workflows through context engineering, runtime resilience controls, and rollback-ready telemetry.</w:t>
      </w:r>
    </w:p>
    <w:p>
      <w:r>
        <w:t xml:space="preserve">• Standardized the AI systems lifecycle from intake through production monitoring, compressing lab-to-production cycle time from six months to three weeks.</w:t>
      </w:r>
    </w:p>
    <w:p>
      <w:r>
        <w:t xml:space="preserve">• Architected cloud data and runtime integration patterns across Databricks Lakehouse, vector services, and API gateways to support distributed, high-availability agentic infrastructure.</w:t>
      </w:r>
    </w:p>
    <w:p>
      <w:r>
        <w:t xml:space="preserve">• Commercialized reusable agentic platform IP while scaling the engineering team from 8 to 28, building the operating model behind sustained platform growth.</w:t>
      </w:r>
    </w:p>
    <w:p/>
    <w:p>
      <w:r>
        <w:t xml:space="preserve">IBM — Partner</w:t>
      </w:r>
    </w:p>
    <w:p>
      <w:r>
        <w:t xml:space="preserve">Edgewater, NJ | Apr 2017 – Oct 2022</w:t>
      </w:r>
    </w:p>
    <w:p>
      <w:r>
        <w:t xml:space="preserve">Operationalized partner-led solution architecture at IBM, linking AWS co-sell motions with repeatable financial-services modernization patterns, establishing a disciplined path from technical discovery to executive decision support, clearer buyer alignment, scalable adoption and stronger enterprise pursuit execution.</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