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Hyperscaler Alliance Execution | Governed Runtime Reliability | Enterprise Revenue Portfolio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leads governed agentic AI platform architecture, translating control-plane design and operating discipline into enterprise-scale execution. Software dependency graph intelligence enables accelerated legacy-system analysis, exposes architecture dependency chains, and improves transformation visibility across enterprise complexity. Against that lineage backdrop, the platform's L0 route policy dispatch layer governs autonomous execution within defined policy-gated surfaces. In parallel, tool sandbox egress boundaries contain agent actions while replay-key controls manifest design preserves runtime proof bundle lineage across every execution path. The same platform discipline extends human override escalation paths into production, giving operators a dependable checkpoint before autonomous actions proceed. That governed foundation now underwrites platform productization generating $22M in IP-led revenue, expanding margins and scaling the practice into a durable, growth-oriented commercial engine.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Partner AI Architecture &amp; Commercialization: Buyer-specific solution mapping for enterprise pursuits, Partner AI solution architecture and co-sell execution, Enterprise pursuit execution across portfolio expansion motions, Partner value-realization operating cadence and deal support, AI co-sell bundling with strategic partners</w:t>
      </w:r>
    </w:p>
    <w:p>
      <w:r>
        <w:t xml:space="preserve">Governed AI Platforms &amp; Reliability: Agentic platform route-policy dispatch architecture, Regulated DevSecOps release governance pipelines, governed multi-agent orchestration control planes</w:t>
      </w:r>
    </w:p>
    <w:p>
      <w:r>
        <w:t xml:space="preserve">Enterprise Architecture &amp; Delivery: Presales-to-delivery customer success operating handoff cadence, relationship-grounded context retrieval for enterprise workflows, dense-sparse retrieval with relationship-aware ranking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transformation of governed agentic AI from architectural foundation into an IP-led enterprise operating model, aligning control, lifecycle discipline, distributed infrastructure, and commercial enablement so regulated clients could adopt dependable platform services at scale.</w:t>
      </w:r>
    </w:p>
    <w:p>
      <w:r>
        <w:t xml:space="preserve">• Owned control-plane architecture for a governed agentic AI platform, delivering a policy-gated agent execution surface for governed enterprise AI workflows across regulated financial clients.</w:t>
      </w:r>
    </w:p>
    <w:p>
      <w:r>
        <w:t xml:space="preserve">• Drove CFO-aligned enterprise adoption motions for reusable AI platform commercialization, aligning consumption-based licensing and deal support to enterprise workflow adoption goals using CFO-aligned adoption motions.</w:t>
      </w:r>
    </w:p>
    <w:p>
      <w:r>
        <w:t xml:space="preserve">• Established audit-grade runtime observability coverage for regulated AI workflows through evaluation gates, telemetry, and rollback controls.</w:t>
      </w:r>
    </w:p>
    <w:p>
      <w:r>
        <w:t xml:space="preserve">• Standardized the AI systems lifecycle through managed workflow orchestration and replayable runtime design, compressing lab-to-production cycle time from six months to three weeks.</w:t>
      </w:r>
    </w:p>
    <w:p>
      <w:r>
        <w:t xml:space="preserve">• Architected distributed cloud data runtime integration patterns across Databricks, vector services, and API gateways to sustain high-availability agentic workloads.</w:t>
      </w:r>
    </w:p>
    <w:p>
      <w:r>
        <w:t xml:space="preserve">• Commercialized reusable AI platform capability through an agentic operating model, scaling the engineering team from 8 to 28 while advancing platform productization.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Championed AWS partner architecture and technical discovery at IBM, establishing a repeatable operating discipline that connected BI decision support with executive deal support.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