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Hyperscaler Alliance Co-Sell | Runtime Telemetry Governance | Enterprise Portfolio Expansion</w:t>
      </w:r>
    </w:p>
    <w:p/>
    <w:p>
      <w:pPr>
        <w:pStyle w:val="Heading1"/>
      </w:pPr>
      <w:r>
        <w:t xml:space="preserve">EXECUTIVE SUMMARY</w:t>
      </w:r>
    </w:p>
    <w:p>
      <w:r>
        <w:t xml:space="preserve">Engineering executive leading regulated modernization delivery through release automation and security scanning embedded in resilient release pipelines. Designs the control-plane architecture for a governed agentic AI platform that coordinates policy-gated routing across the runtime. Software dependency graph intelligence enables accelerated legacy-system analysis, exposes architecture dependency chains, and improves transformation visibility across enterprise complexity. From that commercial base, proof bundle lineage gives operators traceable, auditable visibility into every agent decision. In parallel, that platform's productization work generated $22M in IP-led revenue while scaling the supporting engineering team from eight to twenty-eight specialists. That combined foundation of governed architecture, release resilience, and commercialization leadership positions this leader to scale partner-facing AI architecture with the same disciplined rigor.</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linking control-plane architecture, consistent operating discipline, and alliance distribution so regulated enterprise clients could adopt durable platform services rather than isolated consulting engagements at scale across complex workflows.</w:t>
      </w:r>
    </w:p>
    <w:p>
      <w:r>
        <w:t xml:space="preserve">• Architected the control-plane for Unify's agentic AI platform, establishing a policy-gated agent execution surface for governed enterprise AI workflows spanning routing, orchestration, and audit-grade trace lineage.</w:t>
      </w:r>
    </w:p>
    <w:p>
      <w:r>
        <w:t xml:space="preserve">• Drove CFO-aligned enterprise adoption motions tied to reusable AI platform commercialization, aligning generative-AI workflows to finance priorities and expanding consumption-based revenue.</w:t>
      </w:r>
    </w:p>
    <w:p>
      <w:r>
        <w:t xml:space="preserve">• Established audit-grade runtime observability coverage for regulated AI workflows through evaluation gates, telemetry instrumentation, and rollback controls governing production agentic execution.</w:t>
      </w:r>
    </w:p>
    <w:p>
      <w:r>
        <w:t xml:space="preserve">• Standardized the AI systems lifecycle from intake through production monitoring, compressing lab-to-production cycle time from six months to three weeks with deterministic auditability.</w:t>
      </w:r>
    </w:p>
    <w:p>
      <w:r>
        <w:t xml:space="preserve">• Engineered distributed cloud data runtime integration patterns across Databricks, vector services, and API gateways to support high-availability agentic workloads.</w:t>
      </w:r>
    </w:p>
    <w:p>
      <w:r>
        <w:t xml:space="preserve">• Converted bespoke delivery into reusable platform IP while scaling the engineering team from 8 to 28 to support enterprise-wide agentic platform commercialization.</w:t>
      </w:r>
    </w:p>
    <w:p/>
    <w:p>
      <w:r>
        <w:t xml:space="preserve">IBM — Partner</w:t>
      </w:r>
    </w:p>
    <w:p>
      <w:r>
        <w:t xml:space="preserve">Edgewater, NJ | Apr 2017 – Oct 2022</w:t>
      </w:r>
    </w:p>
    <w:p>
      <w:r>
        <w:t xml:space="preserve">Championed partner-led solution architecture for complex enterprise client pursuits at IBM, establishing repeatable AWS and BI mechanisms that connected technical validation to executive operating decisions and made regulated modernization more consistent across client engagements.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