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Hyperscaler Alliance Co-Sell | Runtime Reliability Governance | Enterprise Portfolio Leadership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leading governed agentic AI platform architecture, embedding regulated release resilience across enterprise modernization programs. Designs the agentic platform control plane that gives autonomous systems governed, enterprise-ready execution. Software dependency graph intelligence enables accelerated legacy-system analysis, exposes architecture dependency chains, and improves transformation visibility across enterprise complexity. In parallel, runtime proof-bundle lineage extends into human override escalation paths so every agentic decision carries a traceable and reversible record for enterprise governance. That operating discipline also converts platform capability into IP-led revenue growth through productized agentic services generating $22M in platform-driven revenue. The same platform lineage will extend agentic architecture and productization practice toward new enterprise deployments, sustaining governed and revenue-generating platform growth at scale.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Partner AI Architecture &amp; Commercialization: Buyer-specific solution mapping for enterprise pursuits, Partner AI solution architecture and co-sell execution, Enterprise pursuit execution across portfolio expansion motions, Partner value-realization operating cadence and deal support, AI co-sell bundling with strategic partners</w:t>
      </w:r>
    </w:p>
    <w:p>
      <w:r>
        <w:t xml:space="preserve">Governed AI Platforms &amp; Reliability: Agentic platform route-policy dispatch architecture, Regulated DevSecOps release governance pipelines, governed multi-agent orchestration control planes</w:t>
      </w:r>
    </w:p>
    <w:p>
      <w:r>
        <w:t xml:space="preserve">Enterprise Architecture &amp; Delivery: Presales-to-delivery customer success operating handoff cadence, relationship-grounded context retrieval for enterprise workflows, dense-sparse retrieval with relationship-aware ranking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make governed agentic AI commercially repeatable, linking control-plane architecture, partner-channel enablement, and delivery standards to reusable IP and durable adoption across regulated enterprise environments through a productized operating model.</w:t>
      </w:r>
    </w:p>
    <w:p>
      <w:r>
        <w:t xml:space="preserve">• Directed architecture for a policy-gated agent execution surface for governed enterprise AI workflows, establishing L0 route-policy dispatch and runtime proof bundle lineage for regulated deployments.</w:t>
      </w:r>
    </w:p>
    <w:p>
      <w:r>
        <w:t xml:space="preserve">• Drove CFO-aligned enterprise adoption motions tied to reusable AI platform commercialization, aligning partner and customer deal support with usage-based subscription forecasting.</w:t>
      </w:r>
    </w:p>
    <w:p>
      <w:r>
        <w:t xml:space="preserve">• Delivered audit-grade runtime observability coverage for regulated AI workflows through context engineering and runtime resilience controls across production agent execution.</w:t>
      </w:r>
    </w:p>
    <w:p>
      <w:r>
        <w:t xml:space="preserve">• Standardized the production adoption lifecycle for client AI systems, compressing lab-to-production cycle time from six months to three weeks through replayable runtime design.</w:t>
      </w:r>
    </w:p>
    <w:p>
      <w:r>
        <w:t xml:space="preserve">• Engineered cloud data and runtime integration patterns across Databricks, vector services, and API gateways, applying dense sparse exact retrieval design for distributed agentic workloads.</w:t>
      </w:r>
    </w:p>
    <w:p>
      <w:r>
        <w:t xml:space="preserve">• Scaled the engineering team from 8 to 28 while commercializing reusable AI platform capability under an operating model for agentic AI and platform productization.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Championed solution architecture leadership at IBM, establishing AWS alliance deal support that connected buyer priorities with technical validation across enterprise modernization pursuits.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