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Hyperscaler Alliance Co-Sell | Governed Runtime Reliability | Enterprise Portfolio Expansion</w:t>
      </w:r>
    </w:p>
    <w:p/>
    <w:p>
      <w:pPr>
        <w:pStyle w:val="Heading1"/>
      </w:pPr>
      <w:r>
        <w:t xml:space="preserve">EXECUTIVE SUMMARY</w:t>
      </w:r>
    </w:p>
    <w:p>
      <w:r>
        <w:t xml:space="preserve">Technology strategy executive who leads governed agentic AI platform architecture, aligning control-plane design, regulated release discipline, and commercial outcomes into one operating agenda for enterprise delivery. Designs and operates the agentic platform control plane, combining policy-gated route dispatch and human override escalation paths so autonomous execution stays bounded and reviewable. Software dependency graph intelligence enables accelerated legacy-system analysis, exposes architecture dependency chains, and improves transformation visibility across enterprise complexity. In parallel, runtime proof-bundle lineage and graph-grounded context packs give every agent decision a traceable evidentiary record for stakeholder review across regulated programs. That operating foundation also supports platform productization, converting governed agentic capability into IP-led revenue of $22M and demonstrating durable commercial scale across enterprise programs. Platform architecture, release discipline, and productized revenue outcomes stay integrated into one arc, positioning this record of partner-facing platform leadership to extend into new enterprise and ecosystem programs going forward.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Buyer-specific solution mapping for enterprise pursuits, Partner AI solution architecture and co-sell execution</w:t>
      </w:r>
    </w:p>
    <w:p>
      <w:r>
        <w:t xml:space="preserve">AI Platform Leadership: governed multi-agent orchestration control planes, agentic workflow routing across enterprise systems, Agentic platform route-policy dispatch architecture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Enterprise pursuit execution across portfolio expansion motions, Partner value-realization operating cadence and deal support,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cross-functional enterprise solution architecture delivery governance, Presales-to-delivery customer success operating handoff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industrialize governed agentic AI, turning control-plane architecture and disciplined delivery operations into a productized commercial engine for regulated enterprise clients, with reusable IP and partner-enabled adoption extending from bespoke engagements to repeatable deployment pathways.</w:t>
      </w:r>
    </w:p>
    <w:p>
      <w:r>
        <w:t xml:space="preserve">• Architected a governed, policy-gated agent execution surface for enterprise AI workflows, establishing L0 route-policy dispatch, runtime gate verdict contracts, and proof-bundle lineage for reproducible, auditable agent traces.</w:t>
      </w:r>
    </w:p>
    <w:p>
      <w:r>
        <w:t xml:space="preserve">• Drove CFO-aligned enterprise adoption motions tied to reusable AI platform commercialization, pairing partner-facing deal support with usage-based subscription forecasting to expand enterprise workflow adoption.</w:t>
      </w:r>
    </w:p>
    <w:p>
      <w:r>
        <w:t xml:space="preserve">• Delivered audit-grade runtime observability coverage for regulated AI workflows by combining runtime resilience controls and context engineering with disciplined evaluation-gate governance.</w:t>
      </w:r>
    </w:p>
    <w:p>
      <w:r>
        <w:t xml:space="preserve">• Accelerated the AI systems lifecycle from six months to three weeks through managed workflow orchestration and replayable runtime design across intake, validation, and production monitoring stages.</w:t>
      </w:r>
    </w:p>
    <w:p>
      <w:r>
        <w:t xml:space="preserve">• Established cloud data and runtime integration patterns across Databricks Lakehouse, vector services, and API gateways, applying dense sparse exact retrieval design and provider egress governance for high-availability distributed execution.</w:t>
      </w:r>
    </w:p>
    <w:p>
      <w:r>
        <w:t xml:space="preserve">• Scaled the engineering team from 8 to 28 while advancing agentic platform productization and an operating model for agentic AI that converted delivery work into reusable, commercialized platform capability.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Drove solution architecture for enterprise financial-services pursuits at IBM, establishing BI-led decision discipline that connected technical validation with executive operating decisions and made modernization delivery more repeatable.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