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Hyperscaler Alliance Co-Sell | Runtime Governance Telemetry | Enterprise Portfolio Governance</w:t>
      </w:r>
    </w:p>
    <w:p/>
    <w:p>
      <w:pPr>
        <w:pStyle w:val="Heading1"/>
      </w:pPr>
      <w:r>
        <w:t xml:space="preserve">EXECUTIVE SUMMARY</w:t>
      </w:r>
    </w:p>
    <w:p>
      <w:r>
        <w:t xml:space="preserve">Engineering executive leads governed agentic AI platform architecture and regulated release resilience as one enterprise leadership agenda. A policy-gated agentic control plane spans L0 route policy dispatch, human override escalation paths, and runtime proof bundle lineage, keeping autonomous execution bounded and auditable. Software dependency graph intelligence enables accelerated legacy-system analysis, exposes architecture dependency chains, and improves transformation visibility across enterprise complexity. In parallel, release automation embeds security scanning coverage and deployment blueprint repeatability into regulated delivery paths, sustaining velocity without loosening governance. That operating foundation also underpins commercial performance, with platform productization generating $22M in IP-led revenue while the engineering organization scaled from eight to twenty-eight specialists. This integrated architecture, governance, and commercialization arc positions continued platform and partner-facing enablement across new enterprise and ecosystem contexts.</w:t>
      </w:r>
    </w:p>
    <w:p/>
    <w:p>
      <w:pPr>
        <w:pStyle w:val="Heading1"/>
      </w:pPr>
      <w:r>
        <w:t xml:space="preserve">ENGINEERING &amp; PLATFORM COMPETENCIES</w:t>
      </w:r>
    </w:p>
    <w:p>
      <w:r>
        <w:t xml:space="preserve">Cloud &amp; Partner Ecosystems: partner-ready applied AI reference architectures, Buyer-specific solution mapping for enterprise pursuits, Partner AI solution architecture and co-sell execution</w:t>
      </w:r>
    </w:p>
    <w:p>
      <w:r>
        <w:t xml:space="preserve">AI Platform Leadership: governed multi-agent orchestration control planes, agentic workflow routing across enterprise systems, Agentic platform route-policy dispatch architecture</w:t>
      </w:r>
    </w:p>
    <w:p>
      <w:r>
        <w:t xml:space="preserve">Governance, Risk &amp; Compliance: fail-closed runtime control gate design, policy enforcement across agent execution paths, Regulated DevSecOps release governance pipelines</w:t>
      </w:r>
    </w:p>
    <w:p>
      <w:r>
        <w:t xml:space="preserve">Technology Strategy &amp; Innovation: relationship-grounded context retrieval for enterprise workflows, dense-sparse retrieval with relationship-aware ranking, authority-ordered prompt context assembly pipelines</w:t>
      </w:r>
    </w:p>
    <w:p>
      <w:r>
        <w:t xml:space="preserve">Commercial &amp; Operating Impact: Enterprise pursuit execution across portfolio expansion motions, Partner value-realization operating cadence and deal support, AI co-sell bundling with strategic partners</w:t>
      </w:r>
    </w:p>
    <w:p>
      <w:r>
        <w:t xml:space="preserve">LLMOps &amp; Reliability: audit-ready agent reliability evidence for governed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technical discovery operating cadences, cross-functional enterprise solution architecture delivery governance, Presales-to-delivery customer success operating handoff cadence</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industrialize a governed agentic AI offering, linking control-plane architecture, lifecycle discipline and distributed execution to a productized operating model that enabled regulated-enterprise adoption, partner-channel leverage, and a durable transition from bespoke services toward IP-led platform growth.</w:t>
      </w:r>
    </w:p>
    <w:p>
      <w:r>
        <w:t xml:space="preserve">• Architected a governed, policy-gated agent execution surface for enterprise AI workflows, combining L0 route-policy dispatch with runtime proof-bundle lineage and human override escalation paths.</w:t>
      </w:r>
    </w:p>
    <w:p>
      <w:r>
        <w:t xml:space="preserve">• Aligned enterprise AI workflow adoption to CFO priorities, establishing CFO-aligned adoption motions tied to reusable AI platform commercialization across partner and customer accounts.</w:t>
      </w:r>
    </w:p>
    <w:p>
      <w:r>
        <w:t xml:space="preserve">• Instituted audit-grade runtime observability coverage for regulated AI workflows through evaluation gates, telemetry instrumentation, and rollback controls.</w:t>
      </w:r>
    </w:p>
    <w:p>
      <w:r>
        <w:t xml:space="preserve">• Standardized the AI systems lifecycle from intake through production monitoring, compressing lab-to-production cycle time from six months to three weeks.</w:t>
      </w:r>
    </w:p>
    <w:p>
      <w:r>
        <w:t xml:space="preserve">• Engineered distributed cloud and data runtime integration patterns across Databricks, vector services, and API gateways to support high-availability agentic workloads.</w:t>
      </w:r>
    </w:p>
    <w:p>
      <w:r>
        <w:t xml:space="preserve">• Converted bespoke client delivery into reusable platform IP while scaling the engineering team from 8 to 28 to support platform commercialization.</w:t>
      </w:r>
    </w:p>
    <w:p/>
    <w:p>
      <w:r>
        <w:t xml:space="preserve">IBM — Partner</w:t>
      </w:r>
    </w:p>
    <w:p>
      <w:r>
        <w:t xml:space="preserve">Edgewater, NJ | Apr 2017 – Oct 2022</w:t>
      </w:r>
    </w:p>
    <w:p>
      <w:r>
        <w:t xml:space="preserve">Operationalized solution architecture and disciplined discovery at IBM for complex enterprise modernization pursuits, establishing BI decision support and reusable reference architectures that made executive decisions and deal support more repeatable.</w:t>
      </w:r>
    </w:p>
    <w:p>
      <w:r>
        <w:t xml:space="preserve">• Led IBM-AWS alliance co-sell motions for financial-services modernization opportunities, delivering 20% joint revenue growth.</w:t>
      </w:r>
    </w:p>
    <w:p>
      <w:r>
        <w:t xml:space="preserve">• Built decision-support data models and BI views that connected modernization programs to executive operating decisions.</w:t>
      </w:r>
    </w:p>
    <w:p>
      <w:r>
        <w:t xml:space="preserve">• Led technical discovery and solution architecture mapping for enterprise financial-services pursuits.</w:t>
      </w:r>
    </w:p>
    <w:p>
      <w:r>
        <w:t xml:space="preserve">• Prioritized enterprise pursuits using solution-architecture feasibility reviews, account context, and buyer readiness, connecting technical validation to executive deal support.</w:t>
      </w:r>
    </w:p>
    <w:p>
      <w:r>
        <w:t xml:space="preserve">• Architected industry-specific AI, analytics, and cloud modernization reference architectures for financial-services decision support.</w:t>
      </w:r>
    </w:p>
    <w:p/>
    <w:p>
      <w:r>
        <w:t xml:space="preserve">InsurTech Cloud Solutions — Chief Technology Officer</w:t>
      </w:r>
    </w:p>
    <w:p>
      <w:r>
        <w:t xml:space="preserve">New York, NY | Apr 2014 – Mar 2017</w:t>
      </w:r>
    </w:p>
    <w:p>
      <w:r>
        <w:t xml:space="preserve">Led AWS modernization execution for monolithic policy administration and insurance platform workloads.</w:t>
      </w:r>
    </w:p>
    <w:p>
      <w:r>
        <w:t xml:space="preserve">• Implemented SOC 2-aligned AWS controls for regulated insurers adopting analytics and ML.</w:t>
      </w:r>
    </w:p>
    <w:p>
      <w:r>
        <w:t xml:space="preserve">• Built safety operating-model framing around AWS shared responsibility and insurer-owned controls.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Priced exotic derivatives and structured multi-Greek hedging strategies, built stochastic capital models, and supported HPC-based valuation frameworks for scenario testing and capital adequacy —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