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C2D64" w14:textId="662E7E50" w:rsidR="00562BAC" w:rsidRDefault="00B506C9" w:rsidP="005B244A">
      <w:pPr>
        <w:pStyle w:val="Heading1"/>
      </w:pPr>
      <w:r>
        <w:t>Auditing the Surgical Outcome Risk Tool (SORT) for Fairness</w:t>
      </w:r>
      <w:r w:rsidR="00562BAC">
        <w:t xml:space="preserve"> </w:t>
      </w:r>
    </w:p>
    <w:p w14:paraId="62AF4C7D" w14:textId="7A163DFC" w:rsidR="00562BAC" w:rsidRDefault="00562BAC"/>
    <w:p w14:paraId="559899AE" w14:textId="02A84C7F" w:rsidR="005B244A" w:rsidRDefault="00562BAC" w:rsidP="00C921A7">
      <w:pPr>
        <w:pStyle w:val="Heading2"/>
      </w:pPr>
      <w:r>
        <w:t>Background</w:t>
      </w:r>
    </w:p>
    <w:p w14:paraId="47E61333" w14:textId="07662B2F" w:rsidR="005B244A" w:rsidRPr="00CC0DE1" w:rsidRDefault="005B244A" w:rsidP="00CC0DE1">
      <w:pPr>
        <w:pStyle w:val="Heading3"/>
      </w:pPr>
      <w:r w:rsidRPr="00CC0DE1">
        <w:t>Fairness</w:t>
      </w:r>
    </w:p>
    <w:p w14:paraId="789D29DA" w14:textId="1D63AEC1" w:rsidR="00A1415E" w:rsidRDefault="001B7E6B" w:rsidP="00A1415E">
      <w:r>
        <w:t>The definition of fairness differs</w:t>
      </w:r>
      <w:r w:rsidR="00EF6578">
        <w:t xml:space="preserve"> throughout literature, though most</w:t>
      </w:r>
      <w:r w:rsidR="00CB3ECD">
        <w:t xml:space="preserve"> authors</w:t>
      </w:r>
      <w:r w:rsidR="00EF6578">
        <w:t xml:space="preserve"> agree that it is </w:t>
      </w:r>
      <w:r w:rsidR="00A1415E">
        <w:t xml:space="preserve">something </w:t>
      </w:r>
      <w:r w:rsidR="00CB3ECD">
        <w:t>linked</w:t>
      </w:r>
      <w:r w:rsidR="00A1415E">
        <w:t xml:space="preserve"> to the </w:t>
      </w:r>
      <w:r w:rsidR="00CB3ECD">
        <w:t>concepts</w:t>
      </w:r>
      <w:r w:rsidR="00A1415E">
        <w:t xml:space="preserve"> of bias or discrimination.</w:t>
      </w:r>
      <w:r w:rsidR="00BB364D">
        <w:t xml:space="preserve"> That is, an individual or group are treated unfairly due to a characteristic they have</w:t>
      </w:r>
      <w:r w:rsidR="00647620">
        <w:t xml:space="preserve"> </w:t>
      </w:r>
      <w:r w:rsidR="00647620">
        <w:fldChar w:fldCharType="begin"/>
      </w:r>
      <w:r w:rsidR="00647620">
        <w:instrText xml:space="preserve"> ADDIN ZOTERO_ITEM CSL_CITATION {"citationID":"IaFZ5FMU","properties":{"formattedCitation":"(Cambridge Dictionary, n.d.)","plainCitation":"(Cambridge Dictionary, n.d.)","noteIndex":0},"citationItems":[{"id":208,"uris":["http://zotero.org/users/local/AOgP7mzz/items/MCQMQAG4"],"itemData":{"id":208,"type":"webpage","abstract":"1. treating a person or particular group of people differently, especially in a…","language":"en","title":"Cambridge Dictionary","URL":"https://dictionary.cambridge.org/dictionary/english/discrimination","author":[{"family":"Cambridge Dictionary","given":""}],"accessed":{"date-parts":[["2021",10,5]]}}}],"schema":"https://github.com/citation-style-language/schema/raw/master/csl-citation.json"} </w:instrText>
      </w:r>
      <w:r w:rsidR="00647620">
        <w:fldChar w:fldCharType="separate"/>
      </w:r>
      <w:r w:rsidR="00647620" w:rsidRPr="00647620">
        <w:rPr>
          <w:rFonts w:ascii="Calibri" w:hAnsi="Calibri" w:cs="Calibri"/>
        </w:rPr>
        <w:t>(Cambridge Dictionary)</w:t>
      </w:r>
      <w:r w:rsidR="00647620">
        <w:fldChar w:fldCharType="end"/>
      </w:r>
      <w:r w:rsidR="00BB364D">
        <w:t>.</w:t>
      </w:r>
      <w:r w:rsidR="00A1415E">
        <w:t xml:space="preserve"> </w:t>
      </w:r>
      <w:r w:rsidR="00BB364D">
        <w:t>Note that this is not the same as being treated differently due to a characteristic</w:t>
      </w:r>
      <w:r w:rsidR="00647620">
        <w:t>, as some situations, such as giving more medications to someone of a heavier weight, require different treatment</w:t>
      </w:r>
      <w:r w:rsidR="00BB364D">
        <w:t xml:space="preserve">. </w:t>
      </w:r>
      <w:r>
        <w:t>Identifying whether a</w:t>
      </w:r>
      <w:r w:rsidR="00CB3ECD">
        <w:t>n Artificial Intelligence (AI)</w:t>
      </w:r>
      <w:r>
        <w:t xml:space="preserve"> model is fair to specific groups is a large area of research. Within this area several metrics have been used to identify if a model is being fair </w:t>
      </w:r>
      <w:r w:rsidR="00A1415E">
        <w:t>includ</w:t>
      </w:r>
      <w:r>
        <w:t>ing</w:t>
      </w:r>
      <w:r w:rsidR="00A1415E">
        <w:t xml:space="preserve"> equalised odds</w:t>
      </w:r>
      <w:r w:rsidR="005B244A">
        <w:t xml:space="preserve"> </w:t>
      </w:r>
      <w:r w:rsidR="005B244A">
        <w:fldChar w:fldCharType="begin"/>
      </w:r>
      <w:r w:rsidR="005B244A">
        <w:instrText xml:space="preserve"> ADDIN ZOTERO_ITEM CSL_CITATION {"citationID":"ltDsp4Du","properties":{"formattedCitation":"(Moustakidis et al., 2020)","plainCitation":"(Moustakidis et al., 2020)","noteIndex":0},"citationItems":[{"id":620,"uris":["http://zotero.org/users/local/AOgP7mzz/items/SU5NBRI2"],"itemData":{"id":620,"type":"article-journal","abstract":"Dense neural networks (DNNs) are a powerful class of learning algorithms that uses multiple layers to progressively extract higher level features from raw input. Either deep or shallow, their outstanding capabilities made a very signiﬁcant impact on improving the diagnostic potential in multiple applications including medical data classiﬁcation. In this research work, DNN and Machine Learning (ML) models are explored to address the diagnosis problem of knee osteoarthritis classiﬁcation which is a common complex problem in older adults. Knee OA diagnosis is a highly complex problem being related to a large number of medical risk factors including advanced age, gender, hormonal status, body weight or size, family history of disease, etc. The main research objective of this study is to apply DNN in knee osteoarthritis classiﬁcation and validate it for the ﬁrst time with respect to both accuracy and fairness. To accomplish this, a hybrid criterion including accuracies, confusion matrix and two fairness metrics (demographic parity (DP) and balanced equalized odds (BEO)) were employed to validate the performance of the proposed methodology. Different subgroups of control participants from selfreported clinical data were considered to prove the performance of the proposed methodology. The best performing DNN method is compared with some popular and well-known machine learning techniques for classiﬁcation with respect to accuracy and fairness. The results of the conducted experimental analysis show the efﬁcacy of the proposed DNN approach improving the classiﬁcation accuracy (up to 79.6%) and fairness (BEO: * 92% and DP: 98.5%) in the OA case study.","container-title":"Neural Computing and Applications","DOI":"10.1007/s00521-020-05459-5","ISSN":"0941-0643, 1433-3058","journalAbbreviation":"Neural Comput &amp; Applic","language":"en","source":"DOI.org (Crossref)","title":"Dense neural networks in knee osteoarthritis classification: a study on accuracy and fairness","title-short":"Dense neural networks in knee osteoarthritis classification","URL":"http://link.springer.com/10.1007/s00521-020-05459-5","author":[{"family":"Moustakidis","given":"Serafeim"},{"family":"Papandrianos","given":"Nikolaos I."},{"family":"Christodolou","given":"Eirini"},{"family":"Papageorgiou","given":"Elpiniki"},{"family":"Tsaopoulos","given":"Dimitrios"}],"accessed":{"date-parts":[["2022",5,31]]},"issued":{"date-parts":[["2020",11,13]]}}}],"schema":"https://github.com/citation-style-language/schema/raw/master/csl-citation.json"} </w:instrText>
      </w:r>
      <w:r w:rsidR="005B244A">
        <w:fldChar w:fldCharType="separate"/>
      </w:r>
      <w:r w:rsidR="005B244A" w:rsidRPr="005B244A">
        <w:rPr>
          <w:rFonts w:ascii="Calibri" w:hAnsi="Calibri" w:cs="Calibri"/>
        </w:rPr>
        <w:t>(Moustakidis et al., 2020)</w:t>
      </w:r>
      <w:r w:rsidR="005B244A">
        <w:fldChar w:fldCharType="end"/>
      </w:r>
      <w:r w:rsidR="00A1415E">
        <w:t xml:space="preserve">, </w:t>
      </w:r>
      <w:r w:rsidR="005B244A">
        <w:t>causal reasoning</w:t>
      </w:r>
      <w:r w:rsidR="00A1415E">
        <w:t xml:space="preserve"> </w:t>
      </w:r>
      <w:r w:rsidR="005B244A">
        <w:fldChar w:fldCharType="begin"/>
      </w:r>
      <w:r w:rsidR="005B244A">
        <w:instrText xml:space="preserve"> ADDIN ZOTERO_ITEM CSL_CITATION {"citationID":"nPdcAzxI","properties":{"formattedCitation":"(Loftus et al., 2018)","plainCitation":"(Loftus et al., 2018)","noteIndex":0},"citationItems":[{"id":658,"uris":["http://zotero.org/users/local/AOgP7mzz/items/Y9HLTH2E"],"itemData":{"id":658,"type":"article","abstract":"In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fairness.","DOI":"10.48550/arXiv.1805.05859","note":"number: arXiv:1805.05859\narXiv:1805.05859 [cs]","publisher":"arXiv","source":"arXiv.org","title":"Causal Reasoning for Algorithmic Fairness","URL":"http://arxiv.org/abs/1805.05859","author":[{"family":"Loftus","given":"Joshua R."},{"family":"Russell","given":"Chris"},{"family":"Kusner","given":"Matt J."},{"family":"Silva","given":"Ricardo"}],"accessed":{"date-parts":[["2022",9,30]]},"issued":{"date-parts":[["2018",5,15]]}}}],"schema":"https://github.com/citation-style-language/schema/raw/master/csl-citation.json"} </w:instrText>
      </w:r>
      <w:r w:rsidR="005B244A">
        <w:fldChar w:fldCharType="separate"/>
      </w:r>
      <w:r w:rsidR="005B244A" w:rsidRPr="005B244A">
        <w:rPr>
          <w:rFonts w:ascii="Calibri" w:hAnsi="Calibri" w:cs="Calibri"/>
        </w:rPr>
        <w:t>(Loftus et al., 2018)</w:t>
      </w:r>
      <w:r w:rsidR="005B244A">
        <w:fldChar w:fldCharType="end"/>
      </w:r>
      <w:r w:rsidR="005B244A">
        <w:t xml:space="preserve"> </w:t>
      </w:r>
      <w:r w:rsidR="00A1415E">
        <w:t>and search-based fairness testing</w:t>
      </w:r>
      <w:r w:rsidR="005B244A">
        <w:t xml:space="preserve"> </w:t>
      </w:r>
      <w:r w:rsidR="005B244A">
        <w:fldChar w:fldCharType="begin"/>
      </w:r>
      <w:r w:rsidR="005B244A">
        <w:instrText xml:space="preserve"> ADDIN ZOTERO_ITEM CSL_CITATION {"citationID":"OtmCKCFs","properties":{"formattedCitation":"(Perera et al., 2022)","plainCitation":"(Perera et al., 2022)","noteIndex":0},"citationItems":[{"id":661,"uris":["http://zotero.org/users/local/AOgP7mzz/items/YF5X39F8"],"itemData":{"id":661,"type":"article-journal","abstract":"Machine learning (ML) software systems are permeating many aspects of our life, such as healthcare, transportation, banking, and recruitment. These systems are trained with data that is often biased, resulting in biased behaviour. To address this issue, fairness testing approaches have been proposed to test ML systems for fairness, which predominantly focus on assessing classification-based ML systems. These methods are not applicable to regression-based systems, for example, they do not quantify the magnitude of the disparity in predicted outcomes, which we identify as important in the context of regression-based ML systems.","container-title":"Empirical Software Engineering","DOI":"10.1007/s10664-022-10116-7","ISSN":"1573-7616","issue":"3","journalAbbreviation":"Empir Software Eng","language":"en","page":"79","source":"Springer Link","title":"Search-based fairness testing for regression-based machine learning systems","volume":"27","author":[{"family":"Perera","given":"Anjana"},{"family":"Aleti","given":"Aldeida"},{"family":"Tantithamthavorn","given":"Chakkrit"},{"family":"Jiarpakdee","given":"Jirayus"},{"family":"Turhan","given":"Burak"},{"family":"Kuhn","given":"Lisa"},{"family":"Walker","given":"Katie"}],"issued":{"date-parts":[["2022",3,30]]}}}],"schema":"https://github.com/citation-style-language/schema/raw/master/csl-citation.json"} </w:instrText>
      </w:r>
      <w:r w:rsidR="005B244A">
        <w:fldChar w:fldCharType="separate"/>
      </w:r>
      <w:r w:rsidR="005B244A" w:rsidRPr="005B244A">
        <w:rPr>
          <w:rFonts w:ascii="Calibri" w:hAnsi="Calibri" w:cs="Calibri"/>
        </w:rPr>
        <w:t>(Perera et al., 2022)</w:t>
      </w:r>
      <w:r w:rsidR="005B244A">
        <w:fldChar w:fldCharType="end"/>
      </w:r>
      <w:r w:rsidR="00A1415E">
        <w:t xml:space="preserve">. The first of these </w:t>
      </w:r>
      <w:r w:rsidR="00647620">
        <w:t>notions, and the one that we will use,</w:t>
      </w:r>
      <w:r>
        <w:t xml:space="preserve"> </w:t>
      </w:r>
      <w:r w:rsidR="00A1415E">
        <w:t>falls into the most common category of fairness tests</w:t>
      </w:r>
      <w:r w:rsidR="001119FF">
        <w:t>:</w:t>
      </w:r>
      <w:r w:rsidR="00A1415E">
        <w:t xml:space="preserve"> group fairness notions</w:t>
      </w:r>
      <w:r w:rsidR="001119FF">
        <w:t xml:space="preserve"> </w:t>
      </w:r>
      <w:r w:rsidR="001119FF">
        <w:fldChar w:fldCharType="begin"/>
      </w:r>
      <w:r w:rsidR="001119FF">
        <w:instrText xml:space="preserve"> ADDIN ZOTERO_ITEM CSL_CITATION {"citationID":"CXNYmKks","properties":{"formattedCitation":"(Makhlouf et al., 2021)","plainCitation":"(Makhlouf et al., 2021)","noteIndex":0},"citationItems":[{"id":501,"uris":["http://zotero.org/users/local/AOgP7mzz/items/TC67U62H"],"itemData":{"id":501,"type":"article-journal","abstract":"Fairness emerged as an important requirement to guarantee that Machine Learning (ML) predictive systems do not discriminate against specific individuals or entire sub-populations, in particular, minorities. Given the inherent subjectivity of viewing the concept of fairness, several notions of fairness have been introduced in the literature. This paper is a survey that illustrates the subtleties between fairness notions through a large number of examples and scenarios. In addition, unlike other surveys in the literature, it addresses the question of “which notion of fairness is most suited to a given real-world scenario and why?”. Our attempt to answer this question consists in (1) identifying the set of fairness-related characteristics of the real-world scenario at hand, (2) analyzing the behavior of each fairness notion, and then (3) fitting these two elements to recommend the most suitable fairness notion in every specific setup. The results are summarized in a decision diagram that can be used by practitioners and policy makers to navigate the relatively large catalog of ML fairness notions.","container-title":"Information Processing &amp; Management","DOI":"10.1016/j.ipm.2021.102642","ISSN":"0306-4573","issue":"5","journalAbbreviation":"Information Processing &amp; Management","language":"en","page":"102642","source":"ScienceDirect","title":"Machine learning fairness notions: Bridging the gap with real-world applications","title-short":"Machine learning fairness notions","volume":"58","author":[{"family":"Makhlouf","given":"Karima"},{"family":"Zhioua","given":"Sami"},{"family":"Palamidessi","given":"Catuscia"}],"issued":{"date-parts":[["2021",9,1]]}}}],"schema":"https://github.com/citation-style-language/schema/raw/master/csl-citation.json"} </w:instrText>
      </w:r>
      <w:r w:rsidR="001119FF">
        <w:fldChar w:fldCharType="separate"/>
      </w:r>
      <w:r w:rsidR="001119FF" w:rsidRPr="005B244A">
        <w:rPr>
          <w:rFonts w:ascii="Calibri" w:hAnsi="Calibri" w:cs="Calibri"/>
        </w:rPr>
        <w:t>(Makhlouf et al., 2021)</w:t>
      </w:r>
      <w:r w:rsidR="001119FF">
        <w:fldChar w:fldCharType="end"/>
      </w:r>
      <w:r w:rsidR="00A1415E">
        <w:t>.</w:t>
      </w:r>
      <w:r w:rsidR="009D52F7">
        <w:t xml:space="preserve"> Group fairness requires different sub-groups to be treated equally by considering the average for the group</w:t>
      </w:r>
      <w:r>
        <w:t>. This measure</w:t>
      </w:r>
      <w:r w:rsidR="009D52F7">
        <w:t xml:space="preserve"> doesn’t consider individuals within the groups</w:t>
      </w:r>
      <w:r>
        <w:t xml:space="preserve"> merely the group as a whole</w:t>
      </w:r>
      <w:r w:rsidR="009D52F7">
        <w:t>.</w:t>
      </w:r>
      <w:r w:rsidR="00A1415E">
        <w:t xml:space="preserve"> Th</w:t>
      </w:r>
      <w:r w:rsidR="009D52F7">
        <w:t>is is implemented</w:t>
      </w:r>
      <w:r w:rsidR="00A1415E">
        <w:t xml:space="preserve"> </w:t>
      </w:r>
      <w:r w:rsidR="009D52F7">
        <w:t>through</w:t>
      </w:r>
      <w:r w:rsidR="00A1415E">
        <w:t xml:space="preserve"> statistical tests,</w:t>
      </w:r>
      <w:r w:rsidR="009D52F7">
        <w:t xml:space="preserve"> which are easy to use</w:t>
      </w:r>
      <w:r w:rsidR="00A1415E">
        <w:t xml:space="preserve"> though often implemented incorrectly. </w:t>
      </w:r>
    </w:p>
    <w:p w14:paraId="6F170652" w14:textId="765543A3" w:rsidR="00897CCA" w:rsidRDefault="00647620" w:rsidP="00A1415E">
      <w:r>
        <w:t>We have created a fairness tool that audits supervised models using electronic healthcare models (EHRs) for fairness.  This tool uses the fairness notion</w:t>
      </w:r>
      <w:r w:rsidR="008B7DB2">
        <w:t xml:space="preserve"> statistical parity, </w:t>
      </w:r>
      <w:r>
        <w:t xml:space="preserve"> which </w:t>
      </w:r>
      <w:r w:rsidR="008B7DB2">
        <w:t xml:space="preserve">was picked </w:t>
      </w:r>
      <w:r w:rsidR="00BB364D">
        <w:t xml:space="preserve">following the conditions laid out in </w:t>
      </w:r>
      <w:proofErr w:type="spellStart"/>
      <w:r w:rsidR="00BB364D">
        <w:t>Makhlouf</w:t>
      </w:r>
      <w:proofErr w:type="spellEnd"/>
      <w:r w:rsidR="00BB364D">
        <w:t xml:space="preserve"> et al.</w:t>
      </w:r>
      <w:r w:rsidR="008B7DB2">
        <w:t xml:space="preserve"> </w:t>
      </w:r>
      <w:r w:rsidR="008B7DB2">
        <w:fldChar w:fldCharType="begin"/>
      </w:r>
      <w:r w:rsidR="00CE0031">
        <w:instrText xml:space="preserve"> ADDIN ZOTERO_ITEM CSL_CITATION {"citationID":"RQ7vPf65","properties":{"formattedCitation":"(Makhlouf et al., 2021)","plainCitation":"(Makhlouf et al., 2021)","dontUpdate":true,"noteIndex":0},"citationItems":[{"id":501,"uris":["http://zotero.org/users/local/AOgP7mzz/items/TC67U62H"],"itemData":{"id":501,"type":"article-journal","abstract":"Fairness emerged as an important requirement to guarantee that Machine Learning (ML) predictive systems do not discriminate against specific individuals or entire sub-populations, in particular, minorities. Given the inherent subjectivity of viewing the concept of fairness, several notions of fairness have been introduced in the literature. This paper is a survey that illustrates the subtleties between fairness notions through a large number of examples and scenarios. In addition, unlike other surveys in the literature, it addresses the question of “which notion of fairness is most suited to a given real-world scenario and why?”. Our attempt to answer this question consists in (1) identifying the set of fairness-related characteristics of the real-world scenario at hand, (2) analyzing the behavior of each fairness notion, and then (3) fitting these two elements to recommend the most suitable fairness notion in every specific setup. The results are summarized in a decision diagram that can be used by practitioners and policy makers to navigate the relatively large catalog of ML fairness notions.","container-title":"Information Processing &amp; Management","DOI":"10.1016/j.ipm.2021.102642","ISSN":"0306-4573","issue":"5","journalAbbreviation":"Information Processing &amp; Management","language":"en","page":"102642","source":"ScienceDirect","title":"Machine learning fairness notions: Bridging the gap with real-world applications","title-short":"Machine learning fairness notions","volume":"58","author":[{"family":"Makhlouf","given":"Karima"},{"family":"Zhioua","given":"Sami"},{"family":"Palamidessi","given":"Catuscia"}],"issued":{"date-parts":[["2021",9,1]]}}}],"schema":"https://github.com/citation-style-language/schema/raw/master/csl-citation.json"} </w:instrText>
      </w:r>
      <w:r w:rsidR="008B7DB2">
        <w:fldChar w:fldCharType="separate"/>
      </w:r>
      <w:r w:rsidR="00D03442" w:rsidRPr="00D03442">
        <w:rPr>
          <w:rFonts w:ascii="Calibri" w:hAnsi="Calibri" w:cs="Calibri"/>
        </w:rPr>
        <w:t>(2021)</w:t>
      </w:r>
      <w:r w:rsidR="008B7DB2">
        <w:fldChar w:fldCharType="end"/>
      </w:r>
      <w:r w:rsidR="00BB364D">
        <w:t>, as we have the possibility of measurement bias and a lack of explanatory variables</w:t>
      </w:r>
      <w:r w:rsidR="008B7DB2">
        <w:t xml:space="preserve">.  </w:t>
      </w:r>
      <w:r>
        <w:t>Statistical parity</w:t>
      </w:r>
      <w:r w:rsidR="008B7DB2">
        <w:t xml:space="preserve"> </w:t>
      </w:r>
      <w:r w:rsidR="009D472F">
        <w:t>requires the probability of a positive result to be independent of the subgroup. We consider the difference in statistical parity between subgroups, so if the notion is met then the difference is 0.</w:t>
      </w:r>
      <w:r w:rsidR="00913824">
        <w:t xml:space="preserve"> Th</w:t>
      </w:r>
      <w:r w:rsidR="00CB3ECD">
        <w:t>e statistical method</w:t>
      </w:r>
      <w:r w:rsidR="00913824">
        <w:t xml:space="preserve"> is distinct from </w:t>
      </w:r>
      <w:r w:rsidR="00CB3ECD">
        <w:t xml:space="preserve">concepts of </w:t>
      </w:r>
      <w:r w:rsidR="00013319">
        <w:t>fairness</w:t>
      </w:r>
      <w:r w:rsidR="00913824">
        <w:t xml:space="preserve"> which might include consideration for expected proportional differences depending on group membership</w:t>
      </w:r>
      <w:r w:rsidR="00013319">
        <w:t xml:space="preserve">. </w:t>
      </w:r>
      <w:r w:rsidR="00913824">
        <w:t>F</w:t>
      </w:r>
      <w:r w:rsidR="00013319">
        <w:t>or example</w:t>
      </w:r>
      <w:r w:rsidR="00913824">
        <w:t xml:space="preserve">, </w:t>
      </w:r>
      <w:r w:rsidR="003D3D9A">
        <w:t xml:space="preserve">79% of new cases </w:t>
      </w:r>
      <w:r w:rsidR="00913824">
        <w:t xml:space="preserve">of laryngeal cancer </w:t>
      </w:r>
      <w:r w:rsidR="003D3D9A">
        <w:t xml:space="preserve">in the USA in 2022 were in men </w:t>
      </w:r>
      <w:r w:rsidR="00913824">
        <w:t xml:space="preserve">but, although the statistical parity would identify inequality with respect to sex, there is no expectation that diagnoses of laryngeal cancer should be equal across sexes </w:t>
      </w:r>
      <w:r w:rsidR="003D3D9A">
        <w:fldChar w:fldCharType="begin"/>
      </w:r>
      <w:r w:rsidR="003D3D9A">
        <w:instrText xml:space="preserve"> ADDIN ZOTERO_ITEM CSL_CITATION {"citationID":"2IFIUQHD","properties":{"formattedCitation":"(American Cancer Society, 2022)","plainCitation":"(American Cancer Society, 2022)","noteIndex":0},"citationItems":[{"id":656,"uris":["http://zotero.org/users/local/AOgP7mzz/items/DGYLIHMS"],"itemData":{"id":656,"type":"webpage","abstract":"The American Cancer Society's most recent throat cancer statistics in the US, including how many cases of throat cancer each year.","language":"en","title":"Throat Cancer Statistics | Cases of Throat Cancer Per Year","URL":"https://www.cancer.org/cancer/laryngeal-and-hypopharyngeal-cancer/about/key-statistics.html","author":[{"family":"American Cancer Society","given":""}],"accessed":{"date-parts":[["2022",9,30]]},"issued":{"date-parts":[["2022"]]}}}],"schema":"https://github.com/citation-style-language/schema/raw/master/csl-citation.json"} </w:instrText>
      </w:r>
      <w:r w:rsidR="003D3D9A">
        <w:fldChar w:fldCharType="separate"/>
      </w:r>
      <w:r w:rsidR="003D3D9A" w:rsidRPr="00A1415E">
        <w:rPr>
          <w:rFonts w:ascii="Calibri" w:hAnsi="Calibri" w:cs="Calibri"/>
        </w:rPr>
        <w:t>(American Cancer Society, 2022)</w:t>
      </w:r>
      <w:r w:rsidR="003D3D9A">
        <w:fldChar w:fldCharType="end"/>
      </w:r>
      <w:r w:rsidR="00013319">
        <w:t xml:space="preserve">. </w:t>
      </w:r>
      <w:r w:rsidR="003D3D9A">
        <w:t xml:space="preserve">In this situation, a model that was 100% correct would not meet statistical parity. </w:t>
      </w:r>
      <w:r w:rsidR="00BB364D">
        <w:t>Therefore,</w:t>
      </w:r>
      <w:r w:rsidR="00FE0279">
        <w:t xml:space="preserve"> when there is a </w:t>
      </w:r>
      <w:r w:rsidR="00523DA3">
        <w:t xml:space="preserve">known </w:t>
      </w:r>
      <w:r w:rsidR="00FE0279">
        <w:t xml:space="preserve">disproportional </w:t>
      </w:r>
      <w:r w:rsidR="00523DA3">
        <w:t>diagnosis between subgroups,</w:t>
      </w:r>
      <w:r w:rsidR="00BB364D">
        <w:t xml:space="preserve"> we consider the expected difference in statistical parity </w:t>
      </w:r>
      <w:r w:rsidR="00523DA3">
        <w:t>and allow for a comparison between the found difference and expected difference.</w:t>
      </w:r>
    </w:p>
    <w:p w14:paraId="3FEB7C47" w14:textId="149F8A19" w:rsidR="00A1415E" w:rsidRDefault="005B244A" w:rsidP="005B244A">
      <w:pPr>
        <w:pStyle w:val="Heading3"/>
      </w:pPr>
      <w:r>
        <w:t>SORT</w:t>
      </w:r>
    </w:p>
    <w:p w14:paraId="5FD54CFA" w14:textId="5CFD9E45" w:rsidR="00013BA4" w:rsidRDefault="00013BA4" w:rsidP="001A2B8A">
      <w:r>
        <w:t>The Surgical Outcome Risk Tool (SORT) is a preoperative risk prediction tool for risk of death within 30 days of inpatient surgery</w:t>
      </w:r>
      <w:r w:rsidR="00CE0031">
        <w:t xml:space="preserve"> </w:t>
      </w:r>
      <w:r w:rsidR="00CE0031">
        <w:fldChar w:fldCharType="begin"/>
      </w:r>
      <w:r w:rsidR="00CE0031">
        <w:instrText xml:space="preserve"> ADDIN ZOTERO_ITEM CSL_CITATION {"citationID":"oR3WtD3z","properties":{"formattedCitation":"(Protopapa et al., 2014; Wong et al., 2020)","plainCitation":"(Protopapa et al., 2014; Wong et al., 2020)","noteIndex":0},"citationItems":[{"id":666,"uris":["http://zotero.org/users/local/AOgP7mzz/items/9IMNTD6L"],"itemData":{"id":666,"type":"article-journal","abstract":"Background Existing risk stratification tools have limitations and clinical experience suggests they are not used routinely. The aim of this study was to develop and validate a preoperative risk stratification tool to predict 30-day mortality after non-cardiac surgery in adults by analysis of data from the observational National Confidential Enquiry into Patient Outcome and Death (NCEPOD) Knowing the Risk study. Methods The data set was split into derivation and validation cohorts. Logistic regression was used to construct a model in the derivation cohort to create the Surgical Outcome Risk Tool (SORT), which was tested in the validation cohort. Results Prospective data for 19 097 cases in 326 hospitals were obtained from the NCEPOD study. Following exclusion of 2309, details of 16 788 patients were analysed (derivation cohort 11 219, validation cohort 5569). A model of 45 risk factors was refined on repeated regression analyses to develop a model comprising six variables: American Society of Anesthesiologists Physical Status (ASA-PS) grade, urgency of surgery (expedited, urgent, immediate), high-risk surgical specialty (gastrointestinal, thoracic, vascular), surgical severity (from minor to complex major), cancer and age 65 years or over. In the validation cohort, the SORT was well calibrated and demonstrated better discrimination than the ASA-PS and Surgical Risk Scale; areas under the receiver operating characteristic (ROC) curve were 0·91 (95 per cent c.i. 0·88 to 0·94), 0·87 (0·84 to 0·91) and 0·88 (0·84 to 0·92) respectively (P &lt; 0·001). Conclusion The SORT allows rapid and simple data entry of six preoperative variables, and provides a percentage mortality risk for individuals undergoing surgery.","container-title":"BJS (British Journal of Surgery)","DOI":"10.1002/bjs.9638","ISSN":"1365-2168","issue":"13","language":"en","note":"_eprint: https://onlinelibrary.wiley.com/doi/pdf/10.1002/bjs.9638","page":"1774-1783","source":"Wiley Online Library","title":"Development and validation of the Surgical Outcome Risk Tool (SORT)","volume":"101","author":[{"family":"Protopapa","given":"K. L."},{"family":"Simpson","given":"J. C."},{"family":"Smith","given":"N. C. E."},{"family":"Moonesinghe","given":"S. R."}],"issued":{"date-parts":[["2014"]]}}},{"id":663,"uris":["http://zotero.org/users/local/AOgP7mzz/items/I6NI4U2Y"],"itemData":{"id":663,"type":"article-journal","abstract":"Background Preoperative risk prediction is important for guiding clinical decision-making and resource allocation. Clinicians frequently rely solely on their own clinical judgement for risk prediction rather than objective measures. We aimed to compare the accuracy of freely available objective surgical risk tools with subjective clinical assessment in predicting 30-day mortality. Methods and findings We conducted a prospective observational study in 274 hospitals in the United Kingdom (UK), Australia, and New Zealand. For 1 week in 2017, prospective risk, surgical, and outcome data were collected on all adults aged 18 years and over undergoing surgery requiring at least a 1-night stay in hospital. Recruitment bias was avoided through an ethical waiver to patient consent; a mixture of rural, urban, district, and university hospitals participated. We compared subjective assessment with 3 previously published, open-access objective risk tools for predicting 30-day mortality: the Portsmouth-Physiology and Operative Severity Score for the enUmeration of Mortality (P-POSSUM), Surgical Risk Scale (SRS), and Surgical Outcome Risk Tool (SORT). We then developed a logistic regression model combining subjective assessment and the best objective tool and compared its performance to each constituent method alone. We included 22,631 patients in the study: 52.8% were female, median age was 62 years (interquartile range [IQR] 46 to 73 years), median postoperative length of stay was 3 days (IQR 1 to 6), and inpatient 30-day mortality was 1.4%. Clinicians used subjective assessment alone in 88.7% of cases. All methods overpredicted risk, but visual inspection of plots showed the SORT to have the best calibration. The SORT demonstrated the best discrimination of the objective tools (SORT Area Under Receiver Operating Characteristic curve [AUROC] = 0.90, 95% confidence interval [CI]: 0.88–0.92; P-POSSUM = 0.89, 95% CI 0.88–0.91; SRS = 0.85, 95% CI 0.82–0.87). Subjective assessment demonstrated good discrimination (AUROC = 0.89, 95% CI: 0.86–0.91) that was not different from the SORT (p = 0.309). Combining subjective assessment and the SORT improved discrimination (bootstrap optimism-corrected AUROC = 0.92, 95% CI: 0.90–0.94) and demonstrated continuous Net Reclassification Improvement (NRI = 0.13, 95% CI: 0.06–0.20, p &lt; 0.001) compared with subjective assessment alone. Decision-curve analysis (DCA) confirmed the superiority of the SORT over other previously published models, and the SORT–clinical judgement model again performed best overall. Our study is limited by the low mortality rate, by the lack of blinding in the ‘subjective’ risk assessments, and because we only compared the performance of clinical risk scores as opposed to other prediction tools such as exercise testing or frailty assessment. Conclusions In this study, we observed that the combination of subjective assessment with a parsimonious risk model improved perioperative risk estimation. This may be of value in helping clinicians allocate finite resources such as critical care and to support patient involvement in clinical decision-making.","container-title":"PLOS Medicine","DOI":"10.1371/journal.pmed.1003253","ISSN":"1549-1676","issue":"10","journalAbbreviation":"PLOS Medicine","language":"en","note":"publisher: Public Library of Science","page":"e1003253","source":"PLoS Journals","title":"Developing and validating subjective and objective risk-assessment measures for predicting mortality after major surgery: An international prospective cohort study","title-short":"Developing and validating subjective and objective risk-assessment measures for predicting mortality after major surgery","volume":"17","author":[{"family":"Wong","given":"Danny J. N."},{"family":"Harris","given":"Steve"},{"family":"Sahni","given":"Arun"},{"family":"Bedford","given":"James R."},{"family":"Cortes","given":"Laura"},{"family":"Shawyer","given":"Richard"},{"family":"Wilson","given":"Andrew M."},{"family":"Lindsay","given":"Helen A."},{"family":"Campbell","given":"Doug"},{"family":"Popham","given":"Scott"},{"family":"Barneto","given":"Lisa M."},{"family":"Myles","given":"Paul S."},{"family":"Collaborators","given":"Snap-2: Epiccs"},{"family":"Moonesinghe","given":"S. Ramani"}],"issued":{"date-parts":[["2020",10,15]]}}}],"schema":"https://github.com/citation-style-language/schema/raw/master/csl-citation.json"} </w:instrText>
      </w:r>
      <w:r w:rsidR="00CE0031">
        <w:fldChar w:fldCharType="separate"/>
      </w:r>
      <w:r w:rsidR="00CE0031" w:rsidRPr="00CE0031">
        <w:rPr>
          <w:rFonts w:ascii="Calibri" w:hAnsi="Calibri" w:cs="Calibri"/>
        </w:rPr>
        <w:t>(Protopapa et al., 2014; Wong et al., 2020)</w:t>
      </w:r>
      <w:r w:rsidR="00CE0031">
        <w:fldChar w:fldCharType="end"/>
      </w:r>
      <w:r>
        <w:t xml:space="preserve">. </w:t>
      </w:r>
      <w:r w:rsidR="00C72D5A">
        <w:t>SORT is a logistic regression model that requires 7 variables, of which one is the clinician</w:t>
      </w:r>
      <w:r w:rsidR="00733460">
        <w:t>’</w:t>
      </w:r>
      <w:r w:rsidR="00C72D5A">
        <w:t xml:space="preserve">s </w:t>
      </w:r>
      <w:r w:rsidR="00733460">
        <w:t xml:space="preserve">subjective </w:t>
      </w:r>
      <w:r w:rsidR="00C72D5A">
        <w:t>risk assessment</w:t>
      </w:r>
      <w:r w:rsidR="00647620">
        <w:t xml:space="preserve"> of mortality</w:t>
      </w:r>
      <w:r w:rsidR="00C72D5A">
        <w:t>, and returns a percentage mortality risk.</w:t>
      </w:r>
      <w:r w:rsidR="009F03CA">
        <w:t xml:space="preserve"> These percentage mortality risks can be grouped, as the clinicians subjective risk assessments are, or split into likely to survive (&lt;5%) and other.</w:t>
      </w:r>
      <w:r w:rsidR="00C72D5A">
        <w:t xml:space="preserve"> </w:t>
      </w:r>
      <w:r w:rsidR="00733460">
        <w:t>The model is well-validated in high-income countries. National bodies (e.g.</w:t>
      </w:r>
      <w:r w:rsidR="00CB3ECD">
        <w:t>,</w:t>
      </w:r>
      <w:r w:rsidR="00733460">
        <w:t xml:space="preserve"> the Royal College of Surgeons in the UK) mandate </w:t>
      </w:r>
      <w:r w:rsidR="00CB3ECD">
        <w:t>the</w:t>
      </w:r>
      <w:r w:rsidR="00733460">
        <w:t xml:space="preserve"> use</w:t>
      </w:r>
      <w:r w:rsidR="00CB3ECD">
        <w:t xml:space="preserve"> of SORT</w:t>
      </w:r>
      <w:r w:rsidR="00733460">
        <w:t xml:space="preserve"> to support the consent</w:t>
      </w:r>
      <w:r w:rsidR="00CB3ECD">
        <w:t xml:space="preserve"> to surgery</w:t>
      </w:r>
      <w:r w:rsidR="00733460">
        <w:t xml:space="preserve"> process, as well as for decisions on resource allocation including postoperative critical care admission. It is therefore important that SORT provides equitable predictions across population groups. </w:t>
      </w:r>
    </w:p>
    <w:p w14:paraId="7FA9D7EF" w14:textId="63834B2D" w:rsidR="003E1BA2" w:rsidRDefault="00647620" w:rsidP="001A2B8A">
      <w:r>
        <w:t>I</w:t>
      </w:r>
      <w:r w:rsidR="00AD026D">
        <w:t>nitial tests were carried out using results of the SORT model</w:t>
      </w:r>
      <w:r w:rsidR="003E1BA2">
        <w:t xml:space="preserve">. </w:t>
      </w:r>
      <w:r w:rsidR="00AD026D">
        <w:t xml:space="preserve">Our tool will </w:t>
      </w:r>
      <w:r w:rsidR="003E1BA2">
        <w:t>compare the SORT results to</w:t>
      </w:r>
      <w:r w:rsidR="00AD026D">
        <w:t xml:space="preserve"> actual</w:t>
      </w:r>
      <w:r w:rsidR="003E1BA2">
        <w:t xml:space="preserve"> patient mortality and the SORT results to clinicians</w:t>
      </w:r>
      <w:r w:rsidR="00CB3ECD">
        <w:t>’</w:t>
      </w:r>
      <w:r w:rsidR="003E1BA2">
        <w:t xml:space="preserve"> assessment.</w:t>
      </w:r>
    </w:p>
    <w:p w14:paraId="50B9A617" w14:textId="39B54B1F" w:rsidR="005B244A" w:rsidRDefault="00FA4462" w:rsidP="00FA4462">
      <w:pPr>
        <w:pStyle w:val="Heading3"/>
      </w:pPr>
      <w:r>
        <w:lastRenderedPageBreak/>
        <w:t>Submission</w:t>
      </w:r>
    </w:p>
    <w:p w14:paraId="4FA963CC" w14:textId="5AC99172" w:rsidR="00AE50C0" w:rsidRDefault="006853FB" w:rsidP="00647620">
      <w:r>
        <w:t xml:space="preserve">In addition to this document, my </w:t>
      </w:r>
      <w:r w:rsidR="00FA4462">
        <w:t xml:space="preserve">submission </w:t>
      </w:r>
      <w:r>
        <w:t xml:space="preserve">also </w:t>
      </w:r>
      <w:r w:rsidR="00A5370C">
        <w:t>inc</w:t>
      </w:r>
      <w:r w:rsidR="00CB3ECD">
        <w:t>l</w:t>
      </w:r>
      <w:r w:rsidR="00A5370C">
        <w:t>udes a</w:t>
      </w:r>
      <w:r w:rsidR="00FB1DB6">
        <w:t>n</w:t>
      </w:r>
      <w:r w:rsidR="00413E3D">
        <w:t xml:space="preserve"> interactive </w:t>
      </w:r>
      <w:proofErr w:type="spellStart"/>
      <w:r w:rsidR="001526B1">
        <w:t>J</w:t>
      </w:r>
      <w:r w:rsidR="00413E3D">
        <w:t>upyter</w:t>
      </w:r>
      <w:proofErr w:type="spellEnd"/>
      <w:r w:rsidR="00413E3D">
        <w:t xml:space="preserve"> notebook </w:t>
      </w:r>
      <w:r>
        <w:t>for</w:t>
      </w:r>
      <w:r w:rsidR="000D14BC">
        <w:t xml:space="preserve"> </w:t>
      </w:r>
      <w:r>
        <w:t xml:space="preserve">testing </w:t>
      </w:r>
      <w:r w:rsidR="000D14BC">
        <w:t xml:space="preserve">statistical parity </w:t>
      </w:r>
      <w:r>
        <w:t xml:space="preserve">with </w:t>
      </w:r>
      <w:r w:rsidR="000D14BC">
        <w:t>supervised learning models in medical AI</w:t>
      </w:r>
      <w:r>
        <w:t xml:space="preserve">. The remainder of </w:t>
      </w:r>
      <w:r w:rsidR="00170542">
        <w:t xml:space="preserve">this document </w:t>
      </w:r>
      <w:r>
        <w:t xml:space="preserve">explains the </w:t>
      </w:r>
      <w:r w:rsidR="00170542">
        <w:t>conditions on using the notebook, an explanation on how it works,</w:t>
      </w:r>
      <w:r w:rsidR="002A6CEA">
        <w:t xml:space="preserve"> and the results</w:t>
      </w:r>
      <w:r w:rsidR="00170542">
        <w:t>.</w:t>
      </w:r>
      <w:r w:rsidR="00A5370C">
        <w:t xml:space="preserve"> </w:t>
      </w:r>
      <w:r w:rsidR="00C20E87">
        <w:t xml:space="preserve">All additional documents can be found at </w:t>
      </w:r>
      <w:hyperlink r:id="rId6" w:history="1">
        <w:r w:rsidR="00C20E87" w:rsidRPr="00C20E87">
          <w:rPr>
            <w:rStyle w:val="Hyperlink"/>
          </w:rPr>
          <w:t>https://github.com/SianC/Audit_SORT</w:t>
        </w:r>
      </w:hyperlink>
      <w:r w:rsidR="00C20E87">
        <w:t>.</w:t>
      </w:r>
    </w:p>
    <w:p w14:paraId="298F6FEC" w14:textId="77777777" w:rsidR="002A6CEA" w:rsidRDefault="002A6CEA" w:rsidP="00647620"/>
    <w:p w14:paraId="1624586E" w14:textId="62E5D83B" w:rsidR="005071A7" w:rsidRDefault="002A6CEA" w:rsidP="00170542">
      <w:pPr>
        <w:pStyle w:val="Heading2"/>
      </w:pPr>
      <w:r>
        <w:t xml:space="preserve">Auditing </w:t>
      </w:r>
      <w:r w:rsidR="00170542">
        <w:t>Tool</w:t>
      </w:r>
    </w:p>
    <w:p w14:paraId="7D1C201F" w14:textId="7A85F986" w:rsidR="005071A7" w:rsidRDefault="00170542" w:rsidP="00170542">
      <w:pPr>
        <w:pStyle w:val="Heading3"/>
      </w:pPr>
      <w:r>
        <w:t>Conditions</w:t>
      </w:r>
    </w:p>
    <w:p w14:paraId="36F014BF" w14:textId="4D939042" w:rsidR="00170542" w:rsidRDefault="00170542" w:rsidP="00170542">
      <w:pPr>
        <w:spacing w:line="240" w:lineRule="auto"/>
      </w:pPr>
      <w:r>
        <w:t>To use the</w:t>
      </w:r>
      <w:r w:rsidR="003E1BA2">
        <w:t xml:space="preserve"> tool effectively there are requirements on the </w:t>
      </w:r>
      <w:r w:rsidR="00647620">
        <w:t>system</w:t>
      </w:r>
      <w:r w:rsidR="003E1BA2">
        <w:t>, data and model being tested.</w:t>
      </w:r>
      <w:r>
        <w:t xml:space="preserve"> </w:t>
      </w:r>
      <w:r w:rsidR="003E1BA2">
        <w:t xml:space="preserve">More details on this are </w:t>
      </w:r>
      <w:r>
        <w:t>listed below.</w:t>
      </w:r>
    </w:p>
    <w:p w14:paraId="53FFEF28" w14:textId="31121383" w:rsidR="00170542" w:rsidRDefault="00AD026D" w:rsidP="00170542">
      <w:pPr>
        <w:pStyle w:val="NoSpacing"/>
      </w:pPr>
      <w:r>
        <w:t>System requirements</w:t>
      </w:r>
      <w:r w:rsidR="00F57E09">
        <w:t>:</w:t>
      </w:r>
    </w:p>
    <w:p w14:paraId="712EF59E" w14:textId="5E4B10F7" w:rsidR="00170542" w:rsidRDefault="00AD026D" w:rsidP="00170542">
      <w:pPr>
        <w:pStyle w:val="NoSpacing"/>
        <w:numPr>
          <w:ilvl w:val="0"/>
          <w:numId w:val="1"/>
        </w:numPr>
      </w:pPr>
      <w:r>
        <w:t xml:space="preserve">Access to </w:t>
      </w:r>
      <w:proofErr w:type="spellStart"/>
      <w:r>
        <w:t>jupyter</w:t>
      </w:r>
      <w:proofErr w:type="spellEnd"/>
      <w:r>
        <w:t xml:space="preserve"> notebook</w:t>
      </w:r>
      <w:r w:rsidR="00F57E09">
        <w:t>,</w:t>
      </w:r>
    </w:p>
    <w:p w14:paraId="476FA903" w14:textId="6F03AD60" w:rsidR="00F57E09" w:rsidRDefault="00AD026D" w:rsidP="00170542">
      <w:pPr>
        <w:pStyle w:val="NoSpacing"/>
        <w:numPr>
          <w:ilvl w:val="0"/>
          <w:numId w:val="1"/>
        </w:numPr>
      </w:pPr>
      <w:r>
        <w:t>Access to pandas library</w:t>
      </w:r>
      <w:r w:rsidR="00170542">
        <w:t>,</w:t>
      </w:r>
    </w:p>
    <w:p w14:paraId="2BFFAAFD" w14:textId="2503FCE1" w:rsidR="00170542" w:rsidRDefault="00AD026D" w:rsidP="00170542">
      <w:pPr>
        <w:pStyle w:val="NoSpacing"/>
        <w:numPr>
          <w:ilvl w:val="0"/>
          <w:numId w:val="1"/>
        </w:numPr>
      </w:pPr>
      <w:r>
        <w:t xml:space="preserve">Access to </w:t>
      </w:r>
      <w:proofErr w:type="spellStart"/>
      <w:r>
        <w:t>os.path</w:t>
      </w:r>
      <w:proofErr w:type="spellEnd"/>
      <w:r w:rsidR="00170542">
        <w:t>.</w:t>
      </w:r>
    </w:p>
    <w:p w14:paraId="257540A7" w14:textId="2A02A532" w:rsidR="00170542" w:rsidRDefault="00170542" w:rsidP="00170542">
      <w:pPr>
        <w:pStyle w:val="NoSpacing"/>
      </w:pPr>
      <w:r>
        <w:t>Model</w:t>
      </w:r>
      <w:r w:rsidR="00AD026D">
        <w:t xml:space="preserve"> requirements</w:t>
      </w:r>
      <w:r>
        <w:t>:</w:t>
      </w:r>
    </w:p>
    <w:p w14:paraId="71961374" w14:textId="5C7EEF38" w:rsidR="00170542" w:rsidRDefault="00170542" w:rsidP="00170542">
      <w:pPr>
        <w:pStyle w:val="NoSpacing"/>
        <w:numPr>
          <w:ilvl w:val="0"/>
          <w:numId w:val="4"/>
        </w:numPr>
      </w:pPr>
      <w:r>
        <w:t>It must be a supervised model, i</w:t>
      </w:r>
      <w:r w:rsidR="00CB3ECD">
        <w:t>.</w:t>
      </w:r>
      <w:r>
        <w:t>e</w:t>
      </w:r>
      <w:r w:rsidR="00CB3ECD">
        <w:t>.</w:t>
      </w:r>
      <w:r>
        <w:t xml:space="preserve"> have a ground truth.</w:t>
      </w:r>
    </w:p>
    <w:p w14:paraId="633E4A23" w14:textId="4C50930D" w:rsidR="00170542" w:rsidRDefault="003E1BA2" w:rsidP="00170542">
      <w:pPr>
        <w:pStyle w:val="NoSpacing"/>
      </w:pPr>
      <w:r>
        <w:t>Data</w:t>
      </w:r>
      <w:r w:rsidR="00AD026D">
        <w:t xml:space="preserve"> requirements</w:t>
      </w:r>
      <w:r w:rsidR="00170542">
        <w:t>:</w:t>
      </w:r>
    </w:p>
    <w:p w14:paraId="621BE573" w14:textId="1C2F06A2" w:rsidR="00170542" w:rsidRDefault="00AD026D" w:rsidP="00170542">
      <w:pPr>
        <w:pStyle w:val="NoSpacing"/>
        <w:numPr>
          <w:ilvl w:val="0"/>
          <w:numId w:val="4"/>
        </w:numPr>
      </w:pPr>
      <w:r>
        <w:t>C</w:t>
      </w:r>
      <w:r w:rsidR="00170542">
        <w:t>ontain the ground truth,</w:t>
      </w:r>
    </w:p>
    <w:p w14:paraId="568F92BD" w14:textId="702E63BA" w:rsidR="00170542" w:rsidRDefault="00AD026D" w:rsidP="00170542">
      <w:pPr>
        <w:pStyle w:val="NoSpacing"/>
        <w:numPr>
          <w:ilvl w:val="0"/>
          <w:numId w:val="4"/>
        </w:numPr>
      </w:pPr>
      <w:r>
        <w:t>C</w:t>
      </w:r>
      <w:r w:rsidR="00170542">
        <w:t>ontain the model predictions,</w:t>
      </w:r>
    </w:p>
    <w:p w14:paraId="3AFB15EC" w14:textId="35DF92ED" w:rsidR="00170542" w:rsidRDefault="00AD026D" w:rsidP="00170542">
      <w:pPr>
        <w:pStyle w:val="NoSpacing"/>
        <w:numPr>
          <w:ilvl w:val="0"/>
          <w:numId w:val="4"/>
        </w:numPr>
      </w:pPr>
      <w:r>
        <w:t>C</w:t>
      </w:r>
      <w:r w:rsidR="00170542">
        <w:t>ontain the protected characteristic,</w:t>
      </w:r>
    </w:p>
    <w:p w14:paraId="4D369BFE" w14:textId="43A77D5B" w:rsidR="002325D4" w:rsidRDefault="00AD026D" w:rsidP="002325D4">
      <w:pPr>
        <w:pStyle w:val="NoSpacing"/>
        <w:numPr>
          <w:ilvl w:val="0"/>
          <w:numId w:val="4"/>
        </w:numPr>
      </w:pPr>
      <w:r>
        <w:t>CSV</w:t>
      </w:r>
      <w:r w:rsidR="00170542">
        <w:t xml:space="preserve"> format.</w:t>
      </w:r>
    </w:p>
    <w:p w14:paraId="31B31E90" w14:textId="77777777" w:rsidR="002325D4" w:rsidRDefault="002325D4" w:rsidP="002325D4">
      <w:pPr>
        <w:pStyle w:val="NoSpacing"/>
      </w:pPr>
    </w:p>
    <w:p w14:paraId="663E7E64" w14:textId="693FF281" w:rsidR="002325D4" w:rsidRDefault="002325D4" w:rsidP="002325D4">
      <w:pPr>
        <w:pStyle w:val="Heading3"/>
      </w:pPr>
      <w:r>
        <w:t>Description</w:t>
      </w:r>
    </w:p>
    <w:p w14:paraId="069B1B98" w14:textId="38B1C04C" w:rsidR="00A52013" w:rsidRDefault="002325D4" w:rsidP="00613543">
      <w:r>
        <w:t xml:space="preserve">The flowchart in </w:t>
      </w:r>
      <w:r>
        <w:fldChar w:fldCharType="begin"/>
      </w:r>
      <w:r>
        <w:instrText xml:space="preserve"> REF _Ref116035472 \h </w:instrText>
      </w:r>
      <w:r>
        <w:fldChar w:fldCharType="separate"/>
      </w:r>
      <w:r>
        <w:t xml:space="preserve">Figure </w:t>
      </w:r>
      <w:r>
        <w:rPr>
          <w:noProof/>
        </w:rPr>
        <w:t>1</w:t>
      </w:r>
      <w:r>
        <w:fldChar w:fldCharType="end"/>
      </w:r>
      <w:r>
        <w:t xml:space="preserve"> shows the path followed by the tool. The first three nodes represent input actions taken by the user. The following rectangular nodes represent actions taken by the tool and oval nodes represent outputs from the tool. There is a separation on the third node dependent on whether the user knows of an expected bias in their data, for example they are working with an illness that is more prevalent in </w:t>
      </w:r>
      <w:r w:rsidR="00AD026D">
        <w:t>one group than another</w:t>
      </w:r>
      <w:r>
        <w:t>. The difference between each path following this node is the additional work regarding this expected bias.</w:t>
      </w:r>
    </w:p>
    <w:p w14:paraId="4BE8788D" w14:textId="26C25786" w:rsidR="005F7A61" w:rsidRDefault="00AD026D" w:rsidP="00613543">
      <w:r>
        <w:t>Users must have</w:t>
      </w:r>
      <w:r w:rsidR="0022217B">
        <w:t xml:space="preserve"> </w:t>
      </w:r>
      <w:r w:rsidR="003E1BA2">
        <w:t>an understanding</w:t>
      </w:r>
      <w:r w:rsidR="0022217B">
        <w:t xml:space="preserve"> of </w:t>
      </w:r>
      <w:r w:rsidR="003E1BA2">
        <w:t xml:space="preserve">their </w:t>
      </w:r>
      <w:r w:rsidR="0022217B">
        <w:t xml:space="preserve">data and </w:t>
      </w:r>
      <w:r w:rsidR="003E1BA2">
        <w:t xml:space="preserve">an introductory level of </w:t>
      </w:r>
      <w:r w:rsidR="0022217B">
        <w:t>python, but knowledge of fairness testing or AI</w:t>
      </w:r>
      <w:r>
        <w:t xml:space="preserve"> is not required</w:t>
      </w:r>
      <w:r w:rsidR="0022217B">
        <w:t xml:space="preserve">. </w:t>
      </w:r>
      <w:r>
        <w:t xml:space="preserve">The tool </w:t>
      </w:r>
      <w:r w:rsidR="0022217B">
        <w:t xml:space="preserve">will allow people to check AI </w:t>
      </w:r>
      <w:r>
        <w:t xml:space="preserve">models </w:t>
      </w:r>
      <w:r w:rsidR="0022217B">
        <w:t xml:space="preserve">without needing to know how </w:t>
      </w:r>
      <w:r>
        <w:t xml:space="preserve">the model </w:t>
      </w:r>
      <w:r w:rsidR="0022217B">
        <w:t>works.</w:t>
      </w:r>
      <w:r w:rsidR="002D0222">
        <w:t xml:space="preserve"> </w:t>
      </w:r>
    </w:p>
    <w:p w14:paraId="26E5EF65" w14:textId="7865BD57" w:rsidR="00ED27C0" w:rsidRDefault="00ED27C0" w:rsidP="00613543"/>
    <w:p w14:paraId="71450F3F" w14:textId="66D5F643" w:rsidR="00A52013" w:rsidRDefault="00A52013" w:rsidP="00613543">
      <w:pPr>
        <w:pStyle w:val="Heading3"/>
      </w:pPr>
      <w:r w:rsidRPr="002325D4">
        <w:rPr>
          <w:noProof/>
        </w:rPr>
        <w:lastRenderedPageBreak/>
        <w:drawing>
          <wp:anchor distT="0" distB="0" distL="114300" distR="114300" simplePos="0" relativeHeight="251661312" behindDoc="1" locked="0" layoutInCell="1" allowOverlap="1" wp14:anchorId="095ED85F" wp14:editId="1BC6979C">
            <wp:simplePos x="0" y="0"/>
            <wp:positionH relativeFrom="column">
              <wp:posOffset>790575</wp:posOffset>
            </wp:positionH>
            <wp:positionV relativeFrom="paragraph">
              <wp:posOffset>0</wp:posOffset>
            </wp:positionV>
            <wp:extent cx="3619500" cy="490855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9500" cy="4908550"/>
                    </a:xfrm>
                    <a:prstGeom prst="rect">
                      <a:avLst/>
                    </a:prstGeom>
                    <a:noFill/>
                    <a:ln>
                      <a:noFill/>
                    </a:ln>
                  </pic:spPr>
                </pic:pic>
              </a:graphicData>
            </a:graphic>
          </wp:anchor>
        </w:drawing>
      </w:r>
    </w:p>
    <w:p w14:paraId="600A5D8D" w14:textId="256D224A" w:rsidR="00A52013" w:rsidRDefault="00A52013" w:rsidP="00613543">
      <w:pPr>
        <w:pStyle w:val="Heading3"/>
      </w:pPr>
    </w:p>
    <w:p w14:paraId="75BCFCB1" w14:textId="5DF690E1" w:rsidR="00A52013" w:rsidRDefault="00A52013" w:rsidP="00613543">
      <w:pPr>
        <w:pStyle w:val="Heading3"/>
      </w:pPr>
    </w:p>
    <w:p w14:paraId="51A5726B" w14:textId="71746F64" w:rsidR="00A52013" w:rsidRDefault="00A52013" w:rsidP="00613543">
      <w:pPr>
        <w:pStyle w:val="Heading3"/>
      </w:pPr>
    </w:p>
    <w:p w14:paraId="5D0A0636" w14:textId="77777777" w:rsidR="00A52013" w:rsidRDefault="00A52013" w:rsidP="00613543">
      <w:pPr>
        <w:pStyle w:val="Heading3"/>
      </w:pPr>
    </w:p>
    <w:p w14:paraId="7A53E29B" w14:textId="77777777" w:rsidR="00A52013" w:rsidRDefault="00A52013" w:rsidP="00613543">
      <w:pPr>
        <w:pStyle w:val="Heading3"/>
      </w:pPr>
    </w:p>
    <w:p w14:paraId="6CBC1871" w14:textId="5DF59BC9" w:rsidR="00A52013" w:rsidRDefault="00A52013" w:rsidP="00613543">
      <w:pPr>
        <w:pStyle w:val="Heading3"/>
      </w:pPr>
    </w:p>
    <w:p w14:paraId="09F45017" w14:textId="77777777" w:rsidR="00A52013" w:rsidRDefault="00A52013" w:rsidP="00613543">
      <w:pPr>
        <w:pStyle w:val="Heading3"/>
      </w:pPr>
    </w:p>
    <w:p w14:paraId="36AA0FB2" w14:textId="77777777" w:rsidR="00A52013" w:rsidRDefault="00A52013" w:rsidP="00613543">
      <w:pPr>
        <w:pStyle w:val="Heading3"/>
      </w:pPr>
    </w:p>
    <w:p w14:paraId="005A5724" w14:textId="77777777" w:rsidR="00A52013" w:rsidRDefault="00A52013" w:rsidP="00613543">
      <w:pPr>
        <w:pStyle w:val="Heading3"/>
      </w:pPr>
    </w:p>
    <w:p w14:paraId="045C8A05" w14:textId="0E3B8B19" w:rsidR="00A52013" w:rsidRDefault="00A52013" w:rsidP="00613543">
      <w:pPr>
        <w:pStyle w:val="Heading3"/>
      </w:pPr>
    </w:p>
    <w:p w14:paraId="21F0776C" w14:textId="77777777" w:rsidR="00A52013" w:rsidRDefault="00A52013" w:rsidP="00613543">
      <w:pPr>
        <w:pStyle w:val="Heading3"/>
      </w:pPr>
    </w:p>
    <w:p w14:paraId="361C924E" w14:textId="68816BB0" w:rsidR="00A52013" w:rsidRDefault="00A52013" w:rsidP="00613543">
      <w:pPr>
        <w:pStyle w:val="Heading3"/>
      </w:pPr>
    </w:p>
    <w:p w14:paraId="197316DE" w14:textId="77777777" w:rsidR="00A52013" w:rsidRDefault="00A52013" w:rsidP="00613543">
      <w:pPr>
        <w:pStyle w:val="Heading3"/>
      </w:pPr>
    </w:p>
    <w:p w14:paraId="2C346F85" w14:textId="16FE1089" w:rsidR="00A52013" w:rsidRDefault="00A52013" w:rsidP="00613543">
      <w:pPr>
        <w:pStyle w:val="Heading3"/>
      </w:pPr>
    </w:p>
    <w:p w14:paraId="0FFD5CE1" w14:textId="313AD752" w:rsidR="00A52013" w:rsidRDefault="00A52013" w:rsidP="00613543">
      <w:pPr>
        <w:pStyle w:val="Heading3"/>
      </w:pPr>
    </w:p>
    <w:p w14:paraId="1DFDA709" w14:textId="49CC07D1" w:rsidR="00A52013" w:rsidRDefault="00A52013" w:rsidP="00613543">
      <w:pPr>
        <w:pStyle w:val="Heading3"/>
      </w:pPr>
    </w:p>
    <w:p w14:paraId="6E622D59" w14:textId="77E8530D" w:rsidR="00A52013" w:rsidRDefault="00A52013" w:rsidP="00613543">
      <w:pPr>
        <w:pStyle w:val="Heading3"/>
      </w:pPr>
    </w:p>
    <w:p w14:paraId="1620E861" w14:textId="77777777" w:rsidR="00A52013" w:rsidRDefault="00A52013" w:rsidP="00613543">
      <w:pPr>
        <w:pStyle w:val="Heading3"/>
      </w:pPr>
    </w:p>
    <w:p w14:paraId="464921A8" w14:textId="04C1D38F" w:rsidR="00A52013" w:rsidRDefault="00A52013" w:rsidP="00613543">
      <w:pPr>
        <w:pStyle w:val="Heading3"/>
      </w:pPr>
    </w:p>
    <w:p w14:paraId="66F84736" w14:textId="24E37851" w:rsidR="00A52013" w:rsidRDefault="00A52013" w:rsidP="00613543">
      <w:pPr>
        <w:pStyle w:val="Heading3"/>
      </w:pPr>
      <w:r>
        <w:rPr>
          <w:noProof/>
        </w:rPr>
        <mc:AlternateContent>
          <mc:Choice Requires="wps">
            <w:drawing>
              <wp:anchor distT="0" distB="0" distL="114300" distR="114300" simplePos="0" relativeHeight="251660288" behindDoc="0" locked="0" layoutInCell="1" allowOverlap="1" wp14:anchorId="035E2009" wp14:editId="6EF399D7">
                <wp:simplePos x="0" y="0"/>
                <wp:positionH relativeFrom="column">
                  <wp:posOffset>262890</wp:posOffset>
                </wp:positionH>
                <wp:positionV relativeFrom="paragraph">
                  <wp:posOffset>365125</wp:posOffset>
                </wp:positionV>
                <wp:extent cx="467868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678680" cy="635"/>
                        </a:xfrm>
                        <a:prstGeom prst="rect">
                          <a:avLst/>
                        </a:prstGeom>
                        <a:solidFill>
                          <a:prstClr val="white"/>
                        </a:solidFill>
                        <a:ln>
                          <a:noFill/>
                        </a:ln>
                      </wps:spPr>
                      <wps:txbx>
                        <w:txbxContent>
                          <w:p w14:paraId="56ADD7D9" w14:textId="77777777" w:rsidR="002325D4" w:rsidRPr="00A35298" w:rsidRDefault="002325D4" w:rsidP="002325D4">
                            <w:pPr>
                              <w:pStyle w:val="Caption"/>
                            </w:pPr>
                            <w:bookmarkStart w:id="0" w:name="_Ref116035472"/>
                            <w:r>
                              <w:t xml:space="preserve">Figure </w:t>
                            </w:r>
                            <w:fldSimple w:instr=" SEQ Figure \* ARABIC ">
                              <w:r>
                                <w:rPr>
                                  <w:noProof/>
                                </w:rPr>
                                <w:t>1</w:t>
                              </w:r>
                            </w:fldSimple>
                            <w:bookmarkEnd w:id="0"/>
                            <w:r>
                              <w:t>: Flowchart for auditing tool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5E2009" id="_x0000_t202" coordsize="21600,21600" o:spt="202" path="m,l,21600r21600,l21600,xe">
                <v:stroke joinstyle="miter"/>
                <v:path gradientshapeok="t" o:connecttype="rect"/>
              </v:shapetype>
              <v:shape id="Text Box 1" o:spid="_x0000_s1026" type="#_x0000_t202" style="position:absolute;margin-left:20.7pt;margin-top:28.75pt;width:368.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" stroked="f">
                <v:textbox style="mso-fit-shape-to-text:t" inset="0,0,0,0">
                  <w:txbxContent>
                    <w:p w14:paraId="56ADD7D9" w14:textId="77777777" w:rsidR="002325D4" w:rsidRPr="00A35298" w:rsidRDefault="002325D4" w:rsidP="002325D4">
                      <w:pPr>
                        <w:pStyle w:val="Caption"/>
                      </w:pPr>
                      <w:bookmarkStart w:id="1" w:name="_Ref116035472"/>
                      <w:r>
                        <w:t xml:space="preserve">Figure </w:t>
                      </w:r>
                      <w:fldSimple w:instr=" SEQ Figure \* ARABIC ">
                        <w:r>
                          <w:rPr>
                            <w:noProof/>
                          </w:rPr>
                          <w:t>1</w:t>
                        </w:r>
                      </w:fldSimple>
                      <w:bookmarkEnd w:id="1"/>
                      <w:r>
                        <w:t>: Flowchart for auditing tool</w:t>
                      </w:r>
                    </w:p>
                  </w:txbxContent>
                </v:textbox>
                <w10:wrap type="topAndBottom"/>
              </v:shape>
            </w:pict>
          </mc:Fallback>
        </mc:AlternateContent>
      </w:r>
    </w:p>
    <w:p w14:paraId="59AA934A" w14:textId="77777777" w:rsidR="00A52013" w:rsidRDefault="00A52013" w:rsidP="00613543">
      <w:pPr>
        <w:pStyle w:val="Heading3"/>
      </w:pPr>
    </w:p>
    <w:p w14:paraId="6ACF6738" w14:textId="408C1912" w:rsidR="005071A7" w:rsidRDefault="00613543" w:rsidP="00613543">
      <w:pPr>
        <w:pStyle w:val="Heading3"/>
      </w:pPr>
      <w:r>
        <w:t>Policy/Law</w:t>
      </w:r>
    </w:p>
    <w:p w14:paraId="7810496B" w14:textId="13920EC6" w:rsidR="00613543" w:rsidRDefault="00ED27C0" w:rsidP="005071A7">
      <w:r>
        <w:t xml:space="preserve">This tool is easy to use and requires only a small amount of </w:t>
      </w:r>
      <w:r w:rsidR="002A6CEA">
        <w:t>data,</w:t>
      </w:r>
      <w:r>
        <w:t xml:space="preserve"> that can be anonymised data in most situations. </w:t>
      </w:r>
      <w:r w:rsidR="00AD026D">
        <w:t>Since the tool is able to be downloaded onto a local machine high risk data does not need to be uploaded to third party servers. This means that it can be easily used in accordance will GDPR and data sharing requirements.</w:t>
      </w:r>
      <w:r w:rsidR="00AC018C">
        <w:t xml:space="preserve"> </w:t>
      </w:r>
      <w:r w:rsidR="00CA0DC2">
        <w:t xml:space="preserve"> </w:t>
      </w:r>
      <w:r w:rsidR="00762E99">
        <w:t>As this tool considers difference it also meets the requirements for the Equality Act 2010</w:t>
      </w:r>
      <w:r w:rsidR="00AC018C">
        <w:t>, a requirement for models to meet in the UK</w:t>
      </w:r>
      <w:r w:rsidR="00762E99">
        <w:t>.</w:t>
      </w:r>
    </w:p>
    <w:p w14:paraId="64EB549E" w14:textId="77777777" w:rsidR="00762E99" w:rsidRPr="00613543" w:rsidRDefault="00762E99" w:rsidP="00613543"/>
    <w:p w14:paraId="758A77A9" w14:textId="458B7E69" w:rsidR="00613543" w:rsidRPr="00613543" w:rsidRDefault="00ED27C0" w:rsidP="00A52013">
      <w:pPr>
        <w:pStyle w:val="Heading2"/>
      </w:pPr>
      <w:r>
        <w:t>SORT</w:t>
      </w:r>
    </w:p>
    <w:p w14:paraId="4D1AAE44" w14:textId="532EF0C0" w:rsidR="00ED27C0" w:rsidRDefault="00ED27C0" w:rsidP="00050BF0">
      <w:r>
        <w:t xml:space="preserve">We </w:t>
      </w:r>
      <w:r w:rsidR="008D505C">
        <w:t>used this tool to perform two tests on SORT. The first was comparing the model</w:t>
      </w:r>
      <w:r w:rsidR="00992509">
        <w:t>’</w:t>
      </w:r>
      <w:r w:rsidR="008D505C">
        <w:t>s prediction</w:t>
      </w:r>
      <w:r w:rsidR="00771640">
        <w:t xml:space="preserve"> for 30-day mortality</w:t>
      </w:r>
      <w:r w:rsidR="008D505C">
        <w:t xml:space="preserve"> </w:t>
      </w:r>
      <w:r w:rsidR="00771640">
        <w:t xml:space="preserve">with </w:t>
      </w:r>
      <w:r w:rsidR="008D505C">
        <w:t xml:space="preserve">whether </w:t>
      </w:r>
      <w:r w:rsidR="00771640">
        <w:t>the</w:t>
      </w:r>
      <w:r w:rsidR="008D505C">
        <w:t xml:space="preserve"> patient died. As the predictions were given over a continuous range, we took less than 0.05 to be survived, and deceased otherwise</w:t>
      </w:r>
      <w:r w:rsidR="003E1BA2">
        <w:t>, as has been done in the original literature on SORT</w:t>
      </w:r>
      <w:r w:rsidR="008D505C">
        <w:t>. W</w:t>
      </w:r>
      <w:r w:rsidR="003E1BA2">
        <w:t xml:space="preserve">hen investigating the </w:t>
      </w:r>
      <w:r w:rsidR="009F03CA">
        <w:t xml:space="preserve">true </w:t>
      </w:r>
      <w:r w:rsidR="003E1BA2">
        <w:t>mortality data</w:t>
      </w:r>
      <w:r w:rsidR="009F03CA">
        <w:t xml:space="preserve"> with regards to sex</w:t>
      </w:r>
      <w:r w:rsidR="003E1BA2">
        <w:t>, w</w:t>
      </w:r>
      <w:r w:rsidR="008D505C">
        <w:t xml:space="preserve">e found </w:t>
      </w:r>
      <w:r w:rsidR="009F03CA">
        <w:t>there was low chance of bias as there was a difference in statistical parity of less than 0.1</w:t>
      </w:r>
      <w:r w:rsidR="008D505C">
        <w:t>. Therefore</w:t>
      </w:r>
      <w:r w:rsidR="002A6CEA">
        <w:t xml:space="preserve"> </w:t>
      </w:r>
      <w:r w:rsidR="008D505C">
        <w:t>SORT can fairly predict likelihood of death</w:t>
      </w:r>
      <w:r w:rsidR="00DA0EEA">
        <w:t xml:space="preserve"> without a </w:t>
      </w:r>
      <w:r w:rsidR="002A6CEA">
        <w:t>sex</w:t>
      </w:r>
      <w:r w:rsidR="00DA0EEA">
        <w:t xml:space="preserve"> bias</w:t>
      </w:r>
      <w:r w:rsidR="008D505C">
        <w:t xml:space="preserve">. </w:t>
      </w:r>
    </w:p>
    <w:p w14:paraId="7D957684" w14:textId="7FF33AAF" w:rsidR="00050BF0" w:rsidRDefault="008D505C" w:rsidP="00050BF0">
      <w:r>
        <w:t xml:space="preserve">The second test was to </w:t>
      </w:r>
      <w:r w:rsidR="005F2428">
        <w:t>take</w:t>
      </w:r>
      <w:r>
        <w:t xml:space="preserve"> the clinicians</w:t>
      </w:r>
      <w:r w:rsidR="009F03CA">
        <w:t>’</w:t>
      </w:r>
      <w:r>
        <w:t xml:space="preserve"> </w:t>
      </w:r>
      <w:r w:rsidR="00AC018C">
        <w:t>subjective risk assessment</w:t>
      </w:r>
      <w:r w:rsidR="005F2428">
        <w:t xml:space="preserve"> as a ground truth</w:t>
      </w:r>
      <w:r>
        <w:t xml:space="preserve"> and </w:t>
      </w:r>
      <w:r w:rsidR="005F2428">
        <w:t xml:space="preserve">compare </w:t>
      </w:r>
      <w:r w:rsidR="009F03CA">
        <w:t>with the model’s predictions</w:t>
      </w:r>
      <w:r w:rsidR="00AC018C">
        <w:t>, again with regards to sex</w:t>
      </w:r>
      <w:r w:rsidR="009F03CA">
        <w:t xml:space="preserve">. </w:t>
      </w:r>
      <w:r w:rsidR="00885998">
        <w:t>I</w:t>
      </w:r>
      <w:r>
        <w:t xml:space="preserve">t should be noted that in the most </w:t>
      </w:r>
      <w:r w:rsidR="005F2428">
        <w:t>recent update of SORT the clinicians</w:t>
      </w:r>
      <w:r w:rsidR="00CB3ECD">
        <w:t>’</w:t>
      </w:r>
      <w:r w:rsidR="005F2428">
        <w:t xml:space="preserve"> decisions are a factor in the model. This allows for a comparison of the </w:t>
      </w:r>
      <w:r w:rsidR="00CB3ECD">
        <w:lastRenderedPageBreak/>
        <w:t>six</w:t>
      </w:r>
      <w:r w:rsidR="005F2428">
        <w:t xml:space="preserve"> percentage gr</w:t>
      </w:r>
      <w:r w:rsidR="002A6CEA">
        <w:t>oups that split 0% chance of death to 100%</w:t>
      </w:r>
      <w:r w:rsidR="00AC018C">
        <w:t>,</w:t>
      </w:r>
      <w:r w:rsidR="005F2428">
        <w:t xml:space="preserve"> rather than </w:t>
      </w:r>
      <w:r w:rsidR="002A6CEA">
        <w:t xml:space="preserve">a </w:t>
      </w:r>
      <w:r w:rsidR="005F2428">
        <w:t>binary</w:t>
      </w:r>
      <w:r w:rsidR="002A6CEA">
        <w:t xml:space="preserve"> comparison</w:t>
      </w:r>
      <w:r w:rsidR="005F2428">
        <w:t>.</w:t>
      </w:r>
      <w:r w:rsidR="00AC018C">
        <w:t xml:space="preserve"> A difference in statistical parity was found for each </w:t>
      </w:r>
      <w:r w:rsidR="00DA0EEA">
        <w:t xml:space="preserve">prediction </w:t>
      </w:r>
      <w:r w:rsidR="00AC018C">
        <w:t>group, leading to a range rather than a single result.</w:t>
      </w:r>
      <w:r w:rsidR="005F2428">
        <w:t xml:space="preserve"> </w:t>
      </w:r>
      <w:r w:rsidR="00AC018C">
        <w:t>All of these were less than 0.1, with t</w:t>
      </w:r>
      <w:r w:rsidR="00ED27C0">
        <w:t>he larg</w:t>
      </w:r>
      <w:r w:rsidR="00AC018C">
        <w:t>est being</w:t>
      </w:r>
      <w:r w:rsidR="00ED27C0">
        <w:t xml:space="preserve"> 0.053.</w:t>
      </w:r>
      <w:r w:rsidR="00AC018C">
        <w:t xml:space="preserve"> Therefore, when considering sex, SORT is fairly mimicking the clinicians subjective risk assessment.</w:t>
      </w:r>
      <w:r w:rsidR="00ED27C0">
        <w:t xml:space="preserve"> </w:t>
      </w:r>
    </w:p>
    <w:p w14:paraId="5639780C" w14:textId="69CDC889" w:rsidR="00FE07FD" w:rsidRPr="00050BF0" w:rsidRDefault="00FE07FD" w:rsidP="00050BF0">
      <w:r>
        <w:t>As there is no expected disparity between sexes for surgical outcomes, we did not use the “expected bias” part of the tool in this example.</w:t>
      </w:r>
    </w:p>
    <w:p w14:paraId="53179BEE" w14:textId="1338FADA" w:rsidR="005F7A61" w:rsidRDefault="005F7A61" w:rsidP="005F7A61"/>
    <w:p w14:paraId="4A51DAB2" w14:textId="5A57B372" w:rsidR="005F7A61" w:rsidRDefault="005F7A61" w:rsidP="005F7A61">
      <w:pPr>
        <w:pStyle w:val="Heading2"/>
      </w:pPr>
      <w:r>
        <w:t>Conclusion</w:t>
      </w:r>
    </w:p>
    <w:p w14:paraId="44D81B90" w14:textId="718C028A" w:rsidR="005F7A61" w:rsidRDefault="005F7A61" w:rsidP="005F7A61">
      <w:pPr>
        <w:pStyle w:val="Heading3"/>
      </w:pPr>
      <w:r>
        <w:t>Summary</w:t>
      </w:r>
    </w:p>
    <w:p w14:paraId="234A5814" w14:textId="2F768844" w:rsidR="005F7A61" w:rsidRPr="005F7A61" w:rsidRDefault="005F7A61" w:rsidP="005F7A61">
      <w:r>
        <w:t>This tool has shown that SORT</w:t>
      </w:r>
      <w:r w:rsidR="0050221D">
        <w:t>, a nationally mandated model,</w:t>
      </w:r>
      <w:r>
        <w:t xml:space="preserve"> is </w:t>
      </w:r>
      <w:r w:rsidR="00762E99">
        <w:t>fair to use, in regards to sex</w:t>
      </w:r>
      <w:r w:rsidR="00AC018C">
        <w:t xml:space="preserve"> and the fairness notion chosen</w:t>
      </w:r>
      <w:r>
        <w:t xml:space="preserve">. </w:t>
      </w:r>
      <w:r w:rsidR="002A6CEA">
        <w:t>The auditing tool</w:t>
      </w:r>
      <w:r w:rsidR="00762E99">
        <w:t xml:space="preserve"> meets the requirements for the equality act 2010 and GDPR</w:t>
      </w:r>
      <w:r>
        <w:t xml:space="preserve">. This tool is easy to download, use and understand for someone with a basic understanding of statistics. Whilst this tool </w:t>
      </w:r>
      <w:r w:rsidR="00C921A7">
        <w:t>has been created to analyse SORT, it will also work for any supervised model</w:t>
      </w:r>
      <w:r w:rsidR="0050221D">
        <w:t xml:space="preserve"> that uses electronic healthcare records</w:t>
      </w:r>
      <w:r w:rsidR="00C921A7">
        <w:t xml:space="preserve">. </w:t>
      </w:r>
    </w:p>
    <w:p w14:paraId="72C66ACC" w14:textId="3F3CFB21" w:rsidR="00613543" w:rsidRDefault="00613543" w:rsidP="00613543">
      <w:pPr>
        <w:pStyle w:val="Heading3"/>
      </w:pPr>
      <w:r>
        <w:t>Future Work</w:t>
      </w:r>
    </w:p>
    <w:p w14:paraId="2D7130F5" w14:textId="7B3EFC4A" w:rsidR="005071A7" w:rsidRDefault="00CA0DC2" w:rsidP="005071A7">
      <w:r>
        <w:t xml:space="preserve">There are number of ways we hope to improve this tool in the future. The current version </w:t>
      </w:r>
      <w:r w:rsidR="00775D68">
        <w:t>can only take discrete data, so in situations such as</w:t>
      </w:r>
      <w:r>
        <w:t xml:space="preserve"> </w:t>
      </w:r>
      <w:r w:rsidR="00775D68">
        <w:t xml:space="preserve">SORT results must be grouped, thereby losing information. </w:t>
      </w:r>
      <w:r w:rsidR="0050221D">
        <w:t>Statistical parity is only suitable in certain situations and a variety of testing methods may make this tool suitable in more situations.</w:t>
      </w:r>
    </w:p>
    <w:p w14:paraId="13F29A8A" w14:textId="5D1F5122" w:rsidR="00CE0031" w:rsidRDefault="00CE0031" w:rsidP="005071A7"/>
    <w:p w14:paraId="15787D9D" w14:textId="1693F92B" w:rsidR="00CE0031" w:rsidRDefault="00CE0031" w:rsidP="00CE0031">
      <w:pPr>
        <w:pStyle w:val="Heading2"/>
      </w:pPr>
      <w:r>
        <w:t>References</w:t>
      </w:r>
    </w:p>
    <w:p w14:paraId="212625C2" w14:textId="77777777" w:rsidR="00647620" w:rsidRPr="00647620" w:rsidRDefault="00CE0031" w:rsidP="00647620">
      <w:pPr>
        <w:pStyle w:val="Bibliography"/>
        <w:rPr>
          <w:rFonts w:ascii="Calibri" w:hAnsi="Calibri" w:cs="Calibri"/>
        </w:rPr>
      </w:pPr>
      <w:r>
        <w:fldChar w:fldCharType="begin"/>
      </w:r>
      <w:r>
        <w:instrText xml:space="preserve"> ADDIN ZOTERO_BIBL {"uncited":[],"omitted":[],"custom":[]} CSL_BIBLIOGRAPHY </w:instrText>
      </w:r>
      <w:r>
        <w:fldChar w:fldCharType="separate"/>
      </w:r>
      <w:r w:rsidR="00647620" w:rsidRPr="00647620">
        <w:rPr>
          <w:rFonts w:ascii="Calibri" w:hAnsi="Calibri" w:cs="Calibri"/>
        </w:rPr>
        <w:t>American Cancer Society 2022. Throat Cancer Statistics | Cases of Throat Cancer Per Year. [Accessed 30 September 2022]. Available from: https://www.cancer.org/cancer/laryngeal-and-hypopharyngeal-cancer/about/key-statistics.html.</w:t>
      </w:r>
    </w:p>
    <w:p w14:paraId="4F835320" w14:textId="77777777" w:rsidR="00647620" w:rsidRPr="00647620" w:rsidRDefault="00647620" w:rsidP="00647620">
      <w:pPr>
        <w:pStyle w:val="Bibliography"/>
        <w:rPr>
          <w:rFonts w:ascii="Calibri" w:hAnsi="Calibri" w:cs="Calibri"/>
        </w:rPr>
      </w:pPr>
      <w:r w:rsidRPr="00647620">
        <w:rPr>
          <w:rFonts w:ascii="Calibri" w:hAnsi="Calibri" w:cs="Calibri"/>
        </w:rPr>
        <w:t>Cambridge Dictionary n.d. Cambridge Dictionary. [Accessed 5 October 2021]. Available from: https://dictionary.cambridge.org/dictionary/english/discrimination.</w:t>
      </w:r>
    </w:p>
    <w:p w14:paraId="7C18CFAF" w14:textId="77777777" w:rsidR="00647620" w:rsidRPr="00647620" w:rsidRDefault="00647620" w:rsidP="00647620">
      <w:pPr>
        <w:pStyle w:val="Bibliography"/>
        <w:rPr>
          <w:rFonts w:ascii="Calibri" w:hAnsi="Calibri" w:cs="Calibri"/>
        </w:rPr>
      </w:pPr>
      <w:r w:rsidRPr="00647620">
        <w:rPr>
          <w:rFonts w:ascii="Calibri" w:hAnsi="Calibri" w:cs="Calibri"/>
        </w:rPr>
        <w:t>Loftus, J.R., Russell, C., Kusner, M.J. and Silva, R. 2018. Causal Reasoning for Algorithmic Fairness.</w:t>
      </w:r>
    </w:p>
    <w:p w14:paraId="5EE45D57" w14:textId="77777777" w:rsidR="00647620" w:rsidRPr="00647620" w:rsidRDefault="00647620" w:rsidP="00647620">
      <w:pPr>
        <w:pStyle w:val="Bibliography"/>
        <w:rPr>
          <w:rFonts w:ascii="Calibri" w:hAnsi="Calibri" w:cs="Calibri"/>
        </w:rPr>
      </w:pPr>
      <w:r w:rsidRPr="00647620">
        <w:rPr>
          <w:rFonts w:ascii="Calibri" w:hAnsi="Calibri" w:cs="Calibri"/>
        </w:rPr>
        <w:t xml:space="preserve">Makhlouf, K., Zhioua, S. and Palamidessi, C. 2021. Machine learning fairness notions: Bridging the gap with real-world applications. </w:t>
      </w:r>
      <w:r w:rsidRPr="00647620">
        <w:rPr>
          <w:rFonts w:ascii="Calibri" w:hAnsi="Calibri" w:cs="Calibri"/>
          <w:i/>
          <w:iCs/>
        </w:rPr>
        <w:t>Information Processing &amp; Management</w:t>
      </w:r>
      <w:r w:rsidRPr="00647620">
        <w:rPr>
          <w:rFonts w:ascii="Calibri" w:hAnsi="Calibri" w:cs="Calibri"/>
        </w:rPr>
        <w:t xml:space="preserve">. </w:t>
      </w:r>
      <w:r w:rsidRPr="00647620">
        <w:rPr>
          <w:rFonts w:ascii="Calibri" w:hAnsi="Calibri" w:cs="Calibri"/>
          <w:b/>
          <w:bCs/>
        </w:rPr>
        <w:t>58</w:t>
      </w:r>
      <w:r w:rsidRPr="00647620">
        <w:rPr>
          <w:rFonts w:ascii="Calibri" w:hAnsi="Calibri" w:cs="Calibri"/>
        </w:rPr>
        <w:t>(5), p.102642.</w:t>
      </w:r>
    </w:p>
    <w:p w14:paraId="79DDBAAD" w14:textId="77777777" w:rsidR="00647620" w:rsidRPr="00647620" w:rsidRDefault="00647620" w:rsidP="00647620">
      <w:pPr>
        <w:pStyle w:val="Bibliography"/>
        <w:rPr>
          <w:rFonts w:ascii="Calibri" w:hAnsi="Calibri" w:cs="Calibri"/>
        </w:rPr>
      </w:pPr>
      <w:r w:rsidRPr="00647620">
        <w:rPr>
          <w:rFonts w:ascii="Calibri" w:hAnsi="Calibri" w:cs="Calibri"/>
        </w:rPr>
        <w:t xml:space="preserve">Moustakidis, S., Papandrianos, N.I., Christodolou, E., Papageorgiou, E. and Tsaopoulos, D. 2020. Dense neural networks in knee osteoarthritis classification: a study on accuracy and fairness. </w:t>
      </w:r>
      <w:r w:rsidRPr="00647620">
        <w:rPr>
          <w:rFonts w:ascii="Calibri" w:hAnsi="Calibri" w:cs="Calibri"/>
          <w:i/>
          <w:iCs/>
        </w:rPr>
        <w:t>Neural Computing and Applications</w:t>
      </w:r>
      <w:r w:rsidRPr="00647620">
        <w:rPr>
          <w:rFonts w:ascii="Calibri" w:hAnsi="Calibri" w:cs="Calibri"/>
        </w:rPr>
        <w:t>.</w:t>
      </w:r>
    </w:p>
    <w:p w14:paraId="4A4F8A84" w14:textId="77777777" w:rsidR="00647620" w:rsidRPr="00647620" w:rsidRDefault="00647620" w:rsidP="00647620">
      <w:pPr>
        <w:pStyle w:val="Bibliography"/>
        <w:rPr>
          <w:rFonts w:ascii="Calibri" w:hAnsi="Calibri" w:cs="Calibri"/>
        </w:rPr>
      </w:pPr>
      <w:r w:rsidRPr="00647620">
        <w:rPr>
          <w:rFonts w:ascii="Calibri" w:hAnsi="Calibri" w:cs="Calibri"/>
        </w:rPr>
        <w:t xml:space="preserve">Perera, A., Aleti, A., Tantithamthavorn, C., Jiarpakdee, J., Turhan, B., Kuhn, L. and Walker, K. 2022. Search-based fairness testing for regression-based machine learning systems. </w:t>
      </w:r>
      <w:r w:rsidRPr="00647620">
        <w:rPr>
          <w:rFonts w:ascii="Calibri" w:hAnsi="Calibri" w:cs="Calibri"/>
          <w:i/>
          <w:iCs/>
        </w:rPr>
        <w:t>Empirical Software Engineering</w:t>
      </w:r>
      <w:r w:rsidRPr="00647620">
        <w:rPr>
          <w:rFonts w:ascii="Calibri" w:hAnsi="Calibri" w:cs="Calibri"/>
        </w:rPr>
        <w:t xml:space="preserve">. </w:t>
      </w:r>
      <w:r w:rsidRPr="00647620">
        <w:rPr>
          <w:rFonts w:ascii="Calibri" w:hAnsi="Calibri" w:cs="Calibri"/>
          <w:b/>
          <w:bCs/>
        </w:rPr>
        <w:t>27</w:t>
      </w:r>
      <w:r w:rsidRPr="00647620">
        <w:rPr>
          <w:rFonts w:ascii="Calibri" w:hAnsi="Calibri" w:cs="Calibri"/>
        </w:rPr>
        <w:t>(3), p.79.</w:t>
      </w:r>
    </w:p>
    <w:p w14:paraId="6881B39B" w14:textId="77777777" w:rsidR="00647620" w:rsidRPr="00647620" w:rsidRDefault="00647620" w:rsidP="00647620">
      <w:pPr>
        <w:pStyle w:val="Bibliography"/>
        <w:rPr>
          <w:rFonts w:ascii="Calibri" w:hAnsi="Calibri" w:cs="Calibri"/>
        </w:rPr>
      </w:pPr>
      <w:r w:rsidRPr="00647620">
        <w:rPr>
          <w:rFonts w:ascii="Calibri" w:hAnsi="Calibri" w:cs="Calibri"/>
        </w:rPr>
        <w:t xml:space="preserve">Protopapa, K.L., Simpson, J.C., Smith, N.C.E. and Moonesinghe, S.R. 2014. Development and validation of the Surgical Outcome Risk Tool (SORT). </w:t>
      </w:r>
      <w:r w:rsidRPr="00647620">
        <w:rPr>
          <w:rFonts w:ascii="Calibri" w:hAnsi="Calibri" w:cs="Calibri"/>
          <w:i/>
          <w:iCs/>
        </w:rPr>
        <w:t>BJS (British Journal of Surgery)</w:t>
      </w:r>
      <w:r w:rsidRPr="00647620">
        <w:rPr>
          <w:rFonts w:ascii="Calibri" w:hAnsi="Calibri" w:cs="Calibri"/>
        </w:rPr>
        <w:t xml:space="preserve">. </w:t>
      </w:r>
      <w:r w:rsidRPr="00647620">
        <w:rPr>
          <w:rFonts w:ascii="Calibri" w:hAnsi="Calibri" w:cs="Calibri"/>
          <w:b/>
          <w:bCs/>
        </w:rPr>
        <w:t>101</w:t>
      </w:r>
      <w:r w:rsidRPr="00647620">
        <w:rPr>
          <w:rFonts w:ascii="Calibri" w:hAnsi="Calibri" w:cs="Calibri"/>
        </w:rPr>
        <w:t>(13), pp.1774–1783.</w:t>
      </w:r>
    </w:p>
    <w:p w14:paraId="52D4305A" w14:textId="77777777" w:rsidR="00647620" w:rsidRPr="00647620" w:rsidRDefault="00647620" w:rsidP="00647620">
      <w:pPr>
        <w:pStyle w:val="Bibliography"/>
        <w:rPr>
          <w:rFonts w:ascii="Calibri" w:hAnsi="Calibri" w:cs="Calibri"/>
        </w:rPr>
      </w:pPr>
      <w:r w:rsidRPr="00647620">
        <w:rPr>
          <w:rFonts w:ascii="Calibri" w:hAnsi="Calibri" w:cs="Calibri"/>
        </w:rPr>
        <w:lastRenderedPageBreak/>
        <w:t xml:space="preserve">Wong, D.J.N., Harris, S., Sahni, A., Bedford, J.R., Cortes, L., Shawyer, R., Wilson, A.M., Lindsay, H.A., Campbell, D., Popham, S., Barneto, L.M., Myles, P.S., Collaborators, S.-2: E. and Moonesinghe, S.R. 2020. Developing and validating subjective and objective risk-assessment measures for predicting mortality after major surgery: An international prospective cohort study. </w:t>
      </w:r>
      <w:r w:rsidRPr="00647620">
        <w:rPr>
          <w:rFonts w:ascii="Calibri" w:hAnsi="Calibri" w:cs="Calibri"/>
          <w:i/>
          <w:iCs/>
        </w:rPr>
        <w:t>PLOS Medicine</w:t>
      </w:r>
      <w:r w:rsidRPr="00647620">
        <w:rPr>
          <w:rFonts w:ascii="Calibri" w:hAnsi="Calibri" w:cs="Calibri"/>
        </w:rPr>
        <w:t xml:space="preserve">. </w:t>
      </w:r>
      <w:r w:rsidRPr="00647620">
        <w:rPr>
          <w:rFonts w:ascii="Calibri" w:hAnsi="Calibri" w:cs="Calibri"/>
          <w:b/>
          <w:bCs/>
        </w:rPr>
        <w:t>17</w:t>
      </w:r>
      <w:r w:rsidRPr="00647620">
        <w:rPr>
          <w:rFonts w:ascii="Calibri" w:hAnsi="Calibri" w:cs="Calibri"/>
        </w:rPr>
        <w:t>(10), p.e1003253.</w:t>
      </w:r>
    </w:p>
    <w:p w14:paraId="45CAA15D" w14:textId="77361CB9" w:rsidR="00CE0031" w:rsidRDefault="00CE0031" w:rsidP="005071A7">
      <w:r>
        <w:fldChar w:fldCharType="end"/>
      </w:r>
    </w:p>
    <w:sectPr w:rsidR="00CE0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660B"/>
    <w:multiLevelType w:val="hybridMultilevel"/>
    <w:tmpl w:val="08585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136063"/>
    <w:multiLevelType w:val="hybridMultilevel"/>
    <w:tmpl w:val="5D785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D677FE"/>
    <w:multiLevelType w:val="hybridMultilevel"/>
    <w:tmpl w:val="4B2AF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0C2734"/>
    <w:multiLevelType w:val="hybridMultilevel"/>
    <w:tmpl w:val="9594D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7474990">
    <w:abstractNumId w:val="3"/>
  </w:num>
  <w:num w:numId="2" w16cid:durableId="89014456">
    <w:abstractNumId w:val="0"/>
  </w:num>
  <w:num w:numId="3" w16cid:durableId="1907183652">
    <w:abstractNumId w:val="1"/>
  </w:num>
  <w:num w:numId="4" w16cid:durableId="820270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BAC"/>
    <w:rsid w:val="00013319"/>
    <w:rsid w:val="00013BA4"/>
    <w:rsid w:val="00050BF0"/>
    <w:rsid w:val="00095FB0"/>
    <w:rsid w:val="000D14BC"/>
    <w:rsid w:val="001119FF"/>
    <w:rsid w:val="001526B1"/>
    <w:rsid w:val="00170542"/>
    <w:rsid w:val="001A2B8A"/>
    <w:rsid w:val="001B32F5"/>
    <w:rsid w:val="001B7E6B"/>
    <w:rsid w:val="0022217B"/>
    <w:rsid w:val="002325D4"/>
    <w:rsid w:val="002A6CEA"/>
    <w:rsid w:val="002D0222"/>
    <w:rsid w:val="002F0272"/>
    <w:rsid w:val="00381B9A"/>
    <w:rsid w:val="003A0F1C"/>
    <w:rsid w:val="003D3D9A"/>
    <w:rsid w:val="003E1BA2"/>
    <w:rsid w:val="00413E3D"/>
    <w:rsid w:val="0045177D"/>
    <w:rsid w:val="0049498C"/>
    <w:rsid w:val="004C1661"/>
    <w:rsid w:val="0050221D"/>
    <w:rsid w:val="005071A7"/>
    <w:rsid w:val="00523DA3"/>
    <w:rsid w:val="00562BAC"/>
    <w:rsid w:val="00571337"/>
    <w:rsid w:val="005B244A"/>
    <w:rsid w:val="005F2428"/>
    <w:rsid w:val="005F7A61"/>
    <w:rsid w:val="00613543"/>
    <w:rsid w:val="00647620"/>
    <w:rsid w:val="006853FB"/>
    <w:rsid w:val="006C6632"/>
    <w:rsid w:val="00733460"/>
    <w:rsid w:val="00762E99"/>
    <w:rsid w:val="00771640"/>
    <w:rsid w:val="00775D68"/>
    <w:rsid w:val="007A51BA"/>
    <w:rsid w:val="007F26B5"/>
    <w:rsid w:val="00885998"/>
    <w:rsid w:val="00893A88"/>
    <w:rsid w:val="00897CCA"/>
    <w:rsid w:val="008B7DB2"/>
    <w:rsid w:val="008D505C"/>
    <w:rsid w:val="008E67B6"/>
    <w:rsid w:val="00913824"/>
    <w:rsid w:val="00925307"/>
    <w:rsid w:val="00992509"/>
    <w:rsid w:val="009D472F"/>
    <w:rsid w:val="009D52F7"/>
    <w:rsid w:val="009F03CA"/>
    <w:rsid w:val="00A1415E"/>
    <w:rsid w:val="00A52013"/>
    <w:rsid w:val="00A5370C"/>
    <w:rsid w:val="00AC018C"/>
    <w:rsid w:val="00AD026D"/>
    <w:rsid w:val="00AE50C0"/>
    <w:rsid w:val="00B30F2D"/>
    <w:rsid w:val="00B506C9"/>
    <w:rsid w:val="00BB364D"/>
    <w:rsid w:val="00BF7D12"/>
    <w:rsid w:val="00C20E87"/>
    <w:rsid w:val="00C72D5A"/>
    <w:rsid w:val="00C921A7"/>
    <w:rsid w:val="00CA0DC2"/>
    <w:rsid w:val="00CA200D"/>
    <w:rsid w:val="00CB3ECD"/>
    <w:rsid w:val="00CB68E6"/>
    <w:rsid w:val="00CC0DE1"/>
    <w:rsid w:val="00CE0031"/>
    <w:rsid w:val="00CF2FAF"/>
    <w:rsid w:val="00D03442"/>
    <w:rsid w:val="00DA0EEA"/>
    <w:rsid w:val="00DC4D81"/>
    <w:rsid w:val="00E06569"/>
    <w:rsid w:val="00E16B72"/>
    <w:rsid w:val="00E809DB"/>
    <w:rsid w:val="00E814C2"/>
    <w:rsid w:val="00ED27C0"/>
    <w:rsid w:val="00EF6578"/>
    <w:rsid w:val="00F57E09"/>
    <w:rsid w:val="00F706FB"/>
    <w:rsid w:val="00FA4462"/>
    <w:rsid w:val="00FB1DB6"/>
    <w:rsid w:val="00FE0279"/>
    <w:rsid w:val="00FE07F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EA93B"/>
  <w15:chartTrackingRefBased/>
  <w15:docId w15:val="{92D83EB7-B7C3-4B62-A9E7-A07D75EA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4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24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BAC"/>
    <w:pPr>
      <w:ind w:left="720"/>
      <w:contextualSpacing/>
    </w:pPr>
  </w:style>
  <w:style w:type="character" w:customStyle="1" w:styleId="Heading2Char">
    <w:name w:val="Heading 2 Char"/>
    <w:basedOn w:val="DefaultParagraphFont"/>
    <w:link w:val="Heading2"/>
    <w:uiPriority w:val="9"/>
    <w:rsid w:val="005B244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B24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B244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70542"/>
    <w:pPr>
      <w:spacing w:after="0" w:line="240" w:lineRule="auto"/>
    </w:pPr>
  </w:style>
  <w:style w:type="character" w:styleId="CommentReference">
    <w:name w:val="annotation reference"/>
    <w:basedOn w:val="DefaultParagraphFont"/>
    <w:uiPriority w:val="99"/>
    <w:semiHidden/>
    <w:unhideWhenUsed/>
    <w:rsid w:val="00992509"/>
    <w:rPr>
      <w:sz w:val="16"/>
      <w:szCs w:val="16"/>
    </w:rPr>
  </w:style>
  <w:style w:type="paragraph" w:styleId="CommentText">
    <w:name w:val="annotation text"/>
    <w:basedOn w:val="Normal"/>
    <w:link w:val="CommentTextChar"/>
    <w:uiPriority w:val="99"/>
    <w:unhideWhenUsed/>
    <w:rsid w:val="00992509"/>
    <w:pPr>
      <w:spacing w:line="240" w:lineRule="auto"/>
    </w:pPr>
    <w:rPr>
      <w:sz w:val="20"/>
      <w:szCs w:val="20"/>
    </w:rPr>
  </w:style>
  <w:style w:type="character" w:customStyle="1" w:styleId="CommentTextChar">
    <w:name w:val="Comment Text Char"/>
    <w:basedOn w:val="DefaultParagraphFont"/>
    <w:link w:val="CommentText"/>
    <w:uiPriority w:val="99"/>
    <w:rsid w:val="00992509"/>
    <w:rPr>
      <w:sz w:val="20"/>
      <w:szCs w:val="20"/>
    </w:rPr>
  </w:style>
  <w:style w:type="paragraph" w:styleId="CommentSubject">
    <w:name w:val="annotation subject"/>
    <w:basedOn w:val="CommentText"/>
    <w:next w:val="CommentText"/>
    <w:link w:val="CommentSubjectChar"/>
    <w:uiPriority w:val="99"/>
    <w:semiHidden/>
    <w:unhideWhenUsed/>
    <w:rsid w:val="00992509"/>
    <w:rPr>
      <w:b/>
      <w:bCs/>
    </w:rPr>
  </w:style>
  <w:style w:type="character" w:customStyle="1" w:styleId="CommentSubjectChar">
    <w:name w:val="Comment Subject Char"/>
    <w:basedOn w:val="CommentTextChar"/>
    <w:link w:val="CommentSubject"/>
    <w:uiPriority w:val="99"/>
    <w:semiHidden/>
    <w:rsid w:val="00992509"/>
    <w:rPr>
      <w:b/>
      <w:bCs/>
      <w:sz w:val="20"/>
      <w:szCs w:val="20"/>
    </w:rPr>
  </w:style>
  <w:style w:type="paragraph" w:styleId="Revision">
    <w:name w:val="Revision"/>
    <w:hidden/>
    <w:uiPriority w:val="99"/>
    <w:semiHidden/>
    <w:rsid w:val="00733460"/>
    <w:pPr>
      <w:spacing w:after="0" w:line="240" w:lineRule="auto"/>
    </w:pPr>
  </w:style>
  <w:style w:type="paragraph" w:styleId="Caption">
    <w:name w:val="caption"/>
    <w:basedOn w:val="Normal"/>
    <w:next w:val="Normal"/>
    <w:uiPriority w:val="35"/>
    <w:unhideWhenUsed/>
    <w:qFormat/>
    <w:rsid w:val="002325D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E0031"/>
    <w:pPr>
      <w:spacing w:after="240" w:line="240" w:lineRule="auto"/>
      <w:ind w:left="720" w:hanging="720"/>
    </w:pPr>
  </w:style>
  <w:style w:type="character" w:styleId="Hyperlink">
    <w:name w:val="Hyperlink"/>
    <w:basedOn w:val="DefaultParagraphFont"/>
    <w:uiPriority w:val="99"/>
    <w:unhideWhenUsed/>
    <w:rsid w:val="00C20E87"/>
    <w:rPr>
      <w:color w:val="0563C1" w:themeColor="hyperlink"/>
      <w:u w:val="single"/>
    </w:rPr>
  </w:style>
  <w:style w:type="character" w:styleId="UnresolvedMention">
    <w:name w:val="Unresolved Mention"/>
    <w:basedOn w:val="DefaultParagraphFont"/>
    <w:uiPriority w:val="99"/>
    <w:semiHidden/>
    <w:unhideWhenUsed/>
    <w:rsid w:val="00C20E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39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ianC/Audit_SOR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034DD-A72C-413A-94DD-981723426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4306</Words>
  <Characters>24546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Sian Carey [mm16s4c]</dc:creator>
  <cp:keywords/>
  <dc:description/>
  <cp:lastModifiedBy>Sian Carey [mm16s4c]</cp:lastModifiedBy>
  <cp:revision>4</cp:revision>
  <dcterms:created xsi:type="dcterms:W3CDTF">2022-10-07T14:50:00Z</dcterms:created>
  <dcterms:modified xsi:type="dcterms:W3CDTF">2022-10-07T15:23:00Z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id="euTfK3VD"/&gt;&lt;style id="http://www.zotero.org/styles/harvard-university-of-leeds" hasBibliography="1" bibliographyStyleHasBeenSet="1"/&gt;&lt;prefs&gt;&lt;pref name="fieldType" value="Field"/&gt;&lt;/prefs&gt;&lt;/data&gt;</vt:lpwstr>
  </property>
</Properties>
</file>