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r>
    </w:tbl>
    <w:p>
      <w:pPr>
        <w:spacing w:after="120"/>
      </w:pPr>
      <w:r>
        <w:rPr>
          <w:i/>
          <w:sz w:val="17"/>
        </w:rPr>
        <w:t>† Supervisor.</w:t>
      </w:r>
    </w:p>
    <w:p>
      <w:pPr>
        <w:spacing w:after="80"/>
        <w:ind w:left="288" w:right="288"/>
      </w:pPr>
      <w:r>
        <w:rPr>
          <w:b/>
          <w:i/>
          <w:sz w:val="18"/>
        </w:rPr>
        <w:t>Abstract—</w:t>
      </w:r>
      <w:r>
        <w:rPr>
          <w:sz w:val="18"/>
        </w:rPr>
        <w:t>Deep neural networks for physiological signal classification predominantly rely on monolithic parameter scaling, which incurs high computational latency and uncalibrated overconfidence under clinical noise. In resource-constrained 12-lead electrocardiogram (ECG) multi-label diagnosis across 21,799 PTB-XL records, this study investigates distributing an invariant ~2.0M parameter budget among compact specialized networks (MOSAIC-Med). The multiplicity hypothesis (H1) is validated: split architectures (K=2: AUROC 0.9085 ± 0.0007; K=4: 0.9084 ± 0.0008) statistically surpass the monolithic baseline (K=1: 0.9059 ± 0.0010, DeLong p = 3.63 × 10^-4). However, extreme over-fragmentation at K=16 degrades AUROC to 0.9048 and triples latency. Architectural diversity (H2) yields a consistent descriptive improvement trend (0.9110 ± 0.0006; Holm p = 0.058) with lower CKA similarity (0.9008 vs 0.9458), but is not statistically significant at alpha = 0.05. Learned Top-2 sparse routing (H3) achieves diagnostic parity (0.9113) while reducing computation by 28.2% relative to dense ensembling (297.8 vs 414.9 MFLOPs). Selective abstention (H4) on the 10% most uncertain records achieves a 4.18% relative risk reduction (p = 0.0093). Factorial ablation confirms diversity regularization prevents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17,418</w:t>
            </w:r>
          </w:p>
        </w:tc>
        <w:tc>
          <w:tcPr>
            <w:tcW w:type="dxa" w:w="1584"/>
            <w:tcMar>
              <w:top w:w="60" w:type="dxa"/>
              <w:bottom w:w="60" w:type="dxa"/>
              <w:left w:w="100" w:type="dxa"/>
              <w:right w:w="100" w:type="dxa"/>
            </w:tcMar>
          </w:tcPr>
          <w:p>
            <w:pPr>
              <w:spacing w:after="0"/>
              <w:jc w:val="center"/>
            </w:pPr>
            <w:r>
              <w:rPr>
                <w:sz w:val="16"/>
              </w:rPr>
              <w:t>15,023</w:t>
            </w:r>
          </w:p>
        </w:tc>
        <w:tc>
          <w:tcPr>
            <w:tcW w:type="dxa" w:w="1872"/>
            <w:tcMar>
              <w:top w:w="60" w:type="dxa"/>
              <w:bottom w:w="60" w:type="dxa"/>
              <w:left w:w="100" w:type="dxa"/>
              <w:right w:w="100" w:type="dxa"/>
            </w:tcMar>
          </w:tcPr>
          <w:p>
            <w:pPr>
              <w:spacing w:after="0"/>
              <w:jc w:val="center"/>
            </w:pPr>
            <w:r>
              <w:rPr>
                <w:sz w:val="16"/>
              </w:rPr>
              <w:t>62.3 ± 31.4</w:t>
            </w:r>
          </w:p>
        </w:tc>
        <w:tc>
          <w:tcPr>
            <w:tcW w:type="dxa" w:w="1584"/>
            <w:tcMar>
              <w:top w:w="60" w:type="dxa"/>
              <w:bottom w:w="60" w:type="dxa"/>
              <w:left w:w="100" w:type="dxa"/>
              <w:right w:w="100" w:type="dxa"/>
            </w:tcMar>
          </w:tcPr>
          <w:p>
            <w:pPr>
              <w:spacing w:after="0"/>
              <w:jc w:val="center"/>
            </w:pPr>
            <w:r>
              <w:rPr>
                <w:sz w:val="16"/>
              </w:rPr>
              <w:t>47.8%</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1,942</w:t>
            </w:r>
          </w:p>
        </w:tc>
        <w:tc>
          <w:tcPr>
            <w:tcW w:type="dxa" w:w="1872"/>
            <w:tcMar>
              <w:top w:w="60" w:type="dxa"/>
              <w:bottom w:w="60" w:type="dxa"/>
              <w:left w:w="100" w:type="dxa"/>
              <w:right w:w="100" w:type="dxa"/>
            </w:tcMar>
          </w:tcPr>
          <w:p>
            <w:pPr>
              <w:spacing w:after="0"/>
              <w:jc w:val="center"/>
            </w:pPr>
            <w:r>
              <w:rPr>
                <w:sz w:val="16"/>
              </w:rPr>
              <w:t>64.5 ± 37.1</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2,198</w:t>
            </w:r>
          </w:p>
        </w:tc>
        <w:tc>
          <w:tcPr>
            <w:tcW w:type="dxa" w:w="1584"/>
            <w:tcMar>
              <w:top w:w="60" w:type="dxa"/>
              <w:bottom w:w="60" w:type="dxa"/>
              <w:left w:w="100" w:type="dxa"/>
              <w:right w:w="100" w:type="dxa"/>
            </w:tcMar>
          </w:tcPr>
          <w:p>
            <w:pPr>
              <w:spacing w:after="0"/>
              <w:jc w:val="center"/>
            </w:pPr>
            <w:r>
              <w:rPr>
                <w:sz w:val="16"/>
              </w:rPr>
              <w:t>1,904</w:t>
            </w:r>
          </w:p>
        </w:tc>
        <w:tc>
          <w:tcPr>
            <w:tcW w:type="dxa" w:w="1872"/>
            <w:tcMar>
              <w:top w:w="60" w:type="dxa"/>
              <w:bottom w:w="60" w:type="dxa"/>
              <w:left w:w="100" w:type="dxa"/>
              <w:right w:w="100" w:type="dxa"/>
            </w:tcMar>
          </w:tcPr>
          <w:p>
            <w:pPr>
              <w:spacing w:after="0"/>
              <w:jc w:val="center"/>
            </w:pPr>
            <w:r>
              <w:rPr>
                <w:sz w:val="16"/>
              </w:rPr>
              <w:t>64.4 ± 34.2</w:t>
            </w:r>
          </w:p>
        </w:tc>
        <w:tc>
          <w:tcPr>
            <w:tcW w:type="dxa" w:w="1584"/>
            <w:tcMar>
              <w:top w:w="60" w:type="dxa"/>
              <w:bottom w:w="60" w:type="dxa"/>
              <w:left w:w="100" w:type="dxa"/>
              <w:right w:w="100" w:type="dxa"/>
            </w:tcMar>
          </w:tcPr>
          <w:p>
            <w:pPr>
              <w:spacing w:after="0"/>
              <w:jc w:val="center"/>
            </w:pPr>
            <w:r>
              <w:rPr>
                <w:sz w:val="16"/>
              </w:rPr>
              <w:t>48.5%</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zero-mean unit-variance normalized per lead: x_c' = (x_c - mu_c) / sigma_c.</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fixed aggregate compute: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absolute discrimination (0.9118 ± 0.0004, Holm p = 5.27 × 10^-5) at 414.9 MFLOPs. Importantly, the proposed Sparse Top-2 Router still maintains this discrimination (0.9113 ± 0.0008, Holm p = 5.07 × 10^-5) but with just two experts being executed per patient tracing, which reduces inference compute to 297.8 MFLOPs (down 28.2% from dense routing).</w:t>
      </w:r>
    </w:p>
    <w:p>
      <w:pPr>
        <w:spacing w:after="100" w:line="276" w:lineRule="auto"/>
      </w:pPr>
      <w:r>
        <w:t>The router specializes in medically informed cardiac pathologies: For Conduction Defects (CD) and Hypertrophy (HYP), the majority of the router sends the TCN-1D and MultiScale-CNN (w_k &gt; 0.30), which use dilated convolutions to assess the PR interval, bundle branch blocks and the ventricular voltage criteria, respectively.</w:t>
      </w:r>
    </w:p>
    <w:p>
      <w:pPr>
        <w:spacing w:after="100" w:line="276" w:lineRule="auto"/>
      </w:pPr>
      <w:r>
        <w:t>On the other hand, ResNet-1D and ConvAttention-1D have dominant gating weights (w_k &gt; 0.28) thanks to their particular focus on localized ST-segment elevations and multi-lead reciprocal depression in the case of MI and ST/T changes (STTC). Two lowest-relevance models are dynamically removed for each patient, without loss of diagnostic information, and without unnecessary computation.</w:t>
      </w:r>
    </w:p>
    <w:p>
      <w:pPr>
        <w:keepNext/>
        <w:spacing w:before="200" w:after="60"/>
      </w:pPr>
      <w:r>
        <w:rPr>
          <w:b/>
          <w:i/>
          <w:color w:val="1F2937"/>
          <w:sz w:val="20"/>
        </w:rPr>
        <w:t>D. Clinical Robustness Under Degradation and Domain Shift</w:t>
      </w:r>
    </w:p>
    <w:p>
      <w:pPr>
        <w:spacing w:after="100" w:line="276" w:lineRule="auto"/>
      </w:pPr>
      <w:r>
        <w:t>Table V and Fig. 3 report diagnostic retention across five clinical stress tests and real-world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real-world clinical corruptions and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Clinical Degradation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Test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External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on frozen experts with cached logits.</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spacing w:after="100" w:line="276" w:lineRule="auto"/>
      </w:pPr>
      <w:r>
        <w:t>With diversity entropy regularization (L_div) it is possible to recover the AUROC to 0.9088 ± 0.0015, which introduces an exploratory balance. The complete formulation (L_diag + L_div + L_fail) gets 0.9090 ± 0.0013 (Brier 0.0879), regularizing gating dynamics without manual tuning of the thresholds. Multiplicity (0.9059), diversity (0.9110), routing (0.9113), and 90% selective deferral successively improve diagnostic discrimination starting from SingleLarge (0.9059).</w:t>
      </w: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an approximately fixed parameter budget, capacity splitting acts as a variance-reduction regularizer: Multiplicity Superiority (H1) is validated as dividing fixed capacity into K = 2, 4 experts statistically outperforms monolithic scale (K = 1, DeLong p = 3.63 × 10^-4) [1, 12]. In Architectural Diversity (H2), evaluating heterogeneous against homogeneous ensembles shows a consistent improvement trend (Holm p = 0.058) in discrimination and calibration (Brier 0.0867 vs 0.0881) by reducing CKA similarity (0.9008 vs 0.9458) [14], though it does not reach statistical significance at alpha = 0.05. For Sparse Adaptive Routing (H3), Top-2 dynamic routing achieves empirical discrimination comparable to dense routing (0.9113 vs 0.9110, p = 0.42) while reducing FLOPs by 28.2% relative to dense ensembling (297.8 vs 414.9 MFLOPs). Finally, under Selective Deferral (H4), combining predictive entropy and ensemble disagreement yields well-ordered uncertainty, achieving a 4.18% relative risk reduction at 90% coverage (p = 0.0093) [8, 11].</w:t>
      </w:r>
    </w:p>
    <w:p>
      <w:pPr>
        <w:keepNext/>
        <w:spacing w:before="200" w:after="60"/>
      </w:pPr>
      <w:r>
        <w:rPr>
          <w:b/>
          <w:i/>
          <w:color w:val="1F2937"/>
          <w:sz w:val="20"/>
        </w:rPr>
        <w:t>B. Negative Results and Theoretical Boundaries</w:t>
      </w:r>
    </w:p>
    <w:p>
      <w:pPr>
        <w:spacing w:after="100" w:line="276" w:lineRule="auto"/>
      </w:pPr>
      <w:r>
        <w:t>Capacity Under-Allocation and Gating Collapse: With only ~125K parameters per expert (K = 16), sub-networks lack capacity for multi-lead morphology extraction, tripling latency to 6.78 ms. Furthermore, training the router using diagnostic loss alone results in gating collapse into a single expert (0.9049 vs 0.9108), demonstrating that diversity regularization is essential.</w:t>
      </w:r>
    </w:p>
    <w:p>
      <w:pPr>
        <w:keepNext/>
        <w:spacing w:before="200" w:after="60"/>
      </w:pPr>
      <w:r>
        <w:rPr>
          <w:b/>
          <w:i/>
          <w:color w:val="1F2937"/>
          <w:sz w:val="20"/>
        </w:rPr>
        <w:t>C. Clinical Translation and Limitations</w:t>
      </w:r>
    </w:p>
    <w:p>
      <w:pPr>
        <w:spacing w:after="100" w:line="276" w:lineRule="auto"/>
      </w:pPr>
      <w:r>
        <w:t>For memory-constrained monitors, Top-2 sparse routing reduces inference FLOPs by 28.2% relative to dense ensembling, while uncertainty deferral enables identifying ambiguous tracings for potential clinician overread in retrospective evaluation. These technical benchmarks demonstrate algorithmic feasibility rather than clinical efficacy or improved patient outcomes.</w:t>
      </w:r>
    </w:p>
    <w:p>
      <w:pPr>
        <w:spacing w:after="100" w:line="276" w:lineRule="auto"/>
      </w:pPr>
      <w:r>
        <w:t>Limitations: Assessments were conducted under edge parameter budgets (~2.0M parameters), and evaluating multiplicity at foundation scales is left for future work [9, 18]. Parameter budgets are matched across arms, but inference compute is not: the Top-2 router requires 297.8 MFLOPs versus 123.9 for the monolithic baseline. The site-shift evaluation uses an internal held-out subset of PTB-XL (s != 0) and does not substitute for independent external multi-hospital validation.</w:t>
      </w:r>
    </w:p>
    <w:p>
      <w:pPr>
        <w:keepNext/>
        <w:spacing w:before="280" w:after="80"/>
        <w:jc w:val="center"/>
      </w:pPr>
      <w:r>
        <w:rPr>
          <w:b/>
          <w:color w:val="1F2937"/>
          <w:sz w:val="21"/>
        </w:rPr>
        <w:t>V. CONCLUSION</w:t>
      </w:r>
    </w:p>
    <w:p>
      <w:pPr>
        <w:spacing w:after="100" w:line="276" w:lineRule="auto"/>
      </w:pPr>
      <w:r>
        <w:t>This study demonstrates that fixed-budget model multiplicity statistically outperforms monolithic scale in 12-lead ECG diagnosis, while architectural diversity exhibits a positive descriptive improvement trend (p = 0.058). Distributing a ~2.0M parameter budget across specialized compact networks provides superior discrimination, calibration, and noise resilience over an equivalent monolithic baseline. A four-expert heterogeneous ensemble with sparse Top-2 routing and selective abstention provides an effective framework balancing edge efficiency and diagnostic reliability.</w:t>
      </w:r>
    </w:p>
    <w:p>
      <w:pPr>
        <w:keepNext/>
        <w:spacing w:before="280" w:after="80"/>
        <w:jc w:val="center"/>
      </w:pPr>
      <w:r>
        <w:rPr>
          <w:b/>
          <w:color w:val="1F2937"/>
          <w:sz w:val="21"/>
        </w:rPr>
        <w:t>DATA AND CODE AVAILABILITY</w:t>
      </w:r>
    </w:p>
    <w:p>
      <w:pPr>
        <w:spacing w:after="100" w:line="276" w:lineRule="auto"/>
      </w:pPr>
      <w:r>
        <w:t>The PTB-XL dataset is publicly available at https://physionet.org/content/ptb-xl/1.0.3/ [4]. All code, configurations and scripts to reproduce the tables and figures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in International Conference on Machine Learning (ICML), pp. 2205–2214,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M. Raghavan, and S. Barocas, "Model multiplicity: Opportunities, concerns, and solutions," in ACM Conference on Fairness, Accountability, and Transparency (FAccT), pp. 850–863, 2022. doi: 10.1145/3531146.3533149.</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J. Snoek, and A. L. Beam, "Second opinion needed: Communicating uncertainty in medical machine learning," npj Digital Medicine, vol. 4, no. 1, p. 4, 2021. doi: 10.1038/s41746-020-00367-3.</w:t>
      </w:r>
    </w:p>
    <w:p>
      <w:pPr>
        <w:spacing w:after="60"/>
        <w:ind w:left="288" w:hanging="288"/>
      </w:pPr>
      <w:r>
        <w:rPr>
          <w:sz w:val="17"/>
        </w:rPr>
        <w:t>[9] J. Li et al., "An electrocardiogram foundation model built on over 10 million recordings with external evaluation," arXiv preprint arXiv:2410.04133,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H. Alinejad-Rokny, M. Baumgartner, G. Steinke, and S.-Y. Ooi, "A novel deep ensemble method for selective classification of electrocardiograms," IEEE Transactions on Biomedical Engineering, vol. 72, no. 2, pp. 577–588,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J.-Q. Guo, M.-Z. Qian, W. Gao, and Z.-H. Zhou, "On the diversity of adversarial ensemble learning," in International Conference on Machine Learning (ICML), 2025.</w:t>
      </w:r>
    </w:p>
    <w:p>
      <w:pPr>
        <w:spacing w:after="60"/>
        <w:ind w:left="288" w:hanging="288"/>
      </w:pPr>
      <w:r>
        <w:rPr>
          <w:sz w:val="17"/>
        </w:rPr>
        <w:t>[15] A. B. Shah et al., "CogMoE: Signal-quality–guided multimodal MoE for cognitive load prediction," in International Conference on Learning Representations (ICLR), 2026.</w:t>
      </w:r>
    </w:p>
    <w:p>
      <w:pPr>
        <w:spacing w:after="60"/>
        <w:ind w:left="288" w:hanging="288"/>
      </w:pPr>
      <w:r>
        <w:rPr>
          <w:sz w:val="17"/>
        </w:rPr>
        <w:t>[16] Y. E. Mert, E. Akdoğan, and H. Üvet, "Multi-label 12-lead ECG classification on the PTB-XL dataset: A comparative evaluation of deep learning architectures and heterogeneous ensemble approaches," arXiv preprint arXiv:2609.12803, 2026.</w:t>
      </w:r>
    </w:p>
    <w:p>
      <w:pPr>
        <w:spacing w:after="60"/>
        <w:ind w:left="288" w:hanging="288"/>
      </w:pPr>
      <w:r>
        <w:rPr>
          <w:sz w:val="17"/>
        </w:rPr>
        <w:t>[17] J. Gu et al., "Domain-expert-guided hybrid mixture-of-experts for medical AI: Integrating data-driven learning with clinical priors," in IEEE International Symposium on Biomedical Imaging (ISBI), pp. 1–5, 2026. doi: 10.1109/ISBI61048.2026.11515744.</w:t>
      </w:r>
    </w:p>
    <w:p>
      <w:pPr>
        <w:spacing w:after="60"/>
        <w:ind w:left="288" w:hanging="288"/>
      </w:pPr>
      <w:r>
        <w:rPr>
          <w:sz w:val="17"/>
        </w:rPr>
        <w:t>[18] Y. Xu et al., "ECG-MoE: Mixture-of-expert electrocardiogram foundation model,"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