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before="120" w:after="40"/>
            </w:pPr>
            <w:r>
              <w:rPr>
                <w:b/>
                <w:color w:val="4A777A"/>
                <w:sz w:val="18"/>
              </w:rPr>
              <w:t>STUDENT INFORMATION</w:t>
              <w:br/>
            </w:r>
            <w:r>
              <w:rPr>
                <w:b/>
              </w:rPr>
              <w:t xml:space="preserve">Name: </w:t>
            </w:r>
            <w:r>
              <w:t>Sibisarathi P</w:t>
              <w:br/>
            </w:r>
            <w:r>
              <w:rPr>
                <w:b/>
              </w:rPr>
              <w:t xml:space="preserve">Roll No: </w:t>
            </w:r>
            <w:r>
              <w:t>241201053</w:t>
            </w:r>
          </w:p>
        </w:tc>
        <w:tc>
          <w:tcPr>
            <w:tcW w:type="dxa" w:w="4680"/>
            <w:shd w:fill="F0F4F8"/>
          </w:tcPr>
          <w:p>
            <w:pPr>
              <w:spacing w:before="120" w:after="40"/>
              <w:jc w:val="right"/>
            </w:pPr>
            <w:r>
              <w:rPr>
                <w:b/>
                <w:color w:val="4A777A"/>
                <w:sz w:val="18"/>
              </w:rPr>
              <w:t>SOFTWARE QUALITY &amp; MAINTENANCE PLAN</w:t>
              <w:br/>
            </w:r>
            <w:r>
              <w:t>Software Development Life Cycle (SDLC)</w:t>
              <w:br/>
            </w:r>
            <w:r>
              <w:rPr>
                <w:i/>
              </w:rPr>
              <w:t>Application: SolNav Sun Tracker</w:t>
            </w:r>
          </w:p>
        </w:tc>
      </w:tr>
      <w:tr>
        <w:tc>
          <w:tcPr>
            <w:tcW w:type="dxa" w:w="4680"/>
          </w:tcPr>
          <w:p>
            <w:pPr>
              <w:spacing w:after="240"/>
            </w:pPr>
          </w:p>
        </w:tc>
        <w:tc>
          <w:tcPr>
            <w:tcW w:type="dxa" w:w="4680"/>
          </w:tcPr>
          <w:p>
            <w:pPr>
              <w:spacing w:after="240"/>
            </w:pPr>
          </w:p>
        </w:tc>
      </w:tr>
    </w:tbl>
    <w:p>
      <w:pPr>
        <w:spacing w:before="240" w:after="80"/>
      </w:pPr>
      <w:r>
        <w:rPr>
          <w:b/>
          <w:color w:val="1B365D"/>
          <w:sz w:val="44"/>
        </w:rPr>
        <w:t>Design of Test Cases &amp; Maintenance Plan</w:t>
      </w:r>
    </w:p>
    <w:p>
      <w:pPr>
        <w:spacing w:before="0" w:after="360"/>
      </w:pPr>
      <w:r>
        <w:rPr>
          <w:i/>
          <w:color w:val="4A777A"/>
          <w:sz w:val="24"/>
        </w:rPr>
        <w:t>SolNav Real-Time Travel Sun Direction &amp; Seat Finder | Quality Assurance &amp; Lifecycle Maintenance Strategy</w:t>
      </w:r>
    </w:p>
    <w:p>
      <w:pPr>
        <w:pStyle w:val="Heading1"/>
        <w:spacing w:before="280" w:after="120"/>
      </w:pPr>
      <w:r>
        <w:rPr>
          <w:color w:val="1B365D"/>
        </w:rPr>
        <w:t>1. Software Test Strategy &amp; Quality Framework</w:t>
      </w:r>
    </w:p>
    <w:p>
      <w:pPr>
        <w:spacing w:after="160" w:line="276" w:lineRule="auto"/>
      </w:pPr>
      <w:r>
        <w:t>To guarantee high mathematical precision, continuous real-time rendering performance, and robust mobile sensor stream integration for the SolNav application, a multi-tiered Software Testing Strategy is established. Because SolNav relies on real-time hardware data (GPS latitude/longitude, digital compass bearing) and mathematical algorithms (solar azimuth and elevation calculations), testing spans across five distinct validation levels:</w:t>
      </w:r>
    </w:p>
    <w:p>
      <w:pPr>
        <w:pStyle w:val="ListBullet"/>
        <w:spacing w:after="80" w:line="276" w:lineRule="auto"/>
      </w:pPr>
      <w:r>
        <w:rPr>
          <w:b/>
        </w:rPr>
        <w:t xml:space="preserve">Unit Testing (Mathematical &amp; Core Algorithms): </w:t>
      </w:r>
      <w:r>
        <w:t>Validates isolated functions including solar position equations (SunCalc engine), bearing computations, seat shade side recommendations (Left vs. Right), and time offset calculations against NREL benchmark solar data.</w:t>
      </w:r>
    </w:p>
    <w:p>
      <w:pPr>
        <w:pStyle w:val="ListBullet"/>
        <w:spacing w:after="80" w:line="276" w:lineRule="auto"/>
      </w:pPr>
      <w:r>
        <w:rPr>
          <w:b/>
        </w:rPr>
        <w:t xml:space="preserve">Integration Testing (Sensor &amp; API Middleware): </w:t>
      </w:r>
      <w:r>
        <w:t>Tests the seamless interaction between mobile hardware sensors (GPS stream, magnetometer), mapping API overlays (Mapbox/Google Maps), and backend microservices.</w:t>
      </w:r>
    </w:p>
    <w:p>
      <w:pPr>
        <w:pStyle w:val="ListBullet"/>
        <w:spacing w:after="80" w:line="276" w:lineRule="auto"/>
      </w:pPr>
      <w:r>
        <w:rPr>
          <w:b/>
        </w:rPr>
        <w:t xml:space="preserve">System Testing (End-to-End Route Simulation): </w:t>
      </w:r>
      <w:r>
        <w:t>Simulates complete travel journeys along pre-defined transit routes to verify route glare mapping, push notification triggers for Golden Hour timing, and dynamic UI updates.</w:t>
      </w:r>
    </w:p>
    <w:p>
      <w:pPr>
        <w:pStyle w:val="ListBullet"/>
        <w:spacing w:after="80" w:line="276" w:lineRule="auto"/>
      </w:pPr>
      <w:r>
        <w:rPr>
          <w:b/>
        </w:rPr>
        <w:t xml:space="preserve">User Acceptance Testing (UAT - Commuter Scenarios): </w:t>
      </w:r>
      <w:r>
        <w:t>Evaluates real-world usability with actual commuters, long-distance travelers, and photographers under high-contrast outdoor lighting conditions.</w:t>
      </w:r>
    </w:p>
    <w:p>
      <w:pPr>
        <w:pStyle w:val="ListBullet"/>
        <w:spacing w:after="80" w:line="276" w:lineRule="auto"/>
      </w:pPr>
      <w:r>
        <w:rPr>
          <w:b/>
        </w:rPr>
        <w:t xml:space="preserve">Performance &amp; Battery Efficiency Testing: </w:t>
      </w:r>
      <w:r>
        <w:t>Assesses dynamic polling frequency, frame rendering rates during continuous route panning, memory usage, and battery consumption optimization.</w:t>
      </w:r>
    </w:p>
    <w:p>
      <w:pPr>
        <w:pStyle w:val="Heading1"/>
        <w:spacing w:before="320" w:after="120"/>
      </w:pPr>
      <w:r>
        <w:rPr>
          <w:color w:val="1B365D"/>
        </w:rPr>
        <w:t>2. Detailed Test Case Design Specifications</w:t>
      </w:r>
    </w:p>
    <w:p>
      <w:pPr>
        <w:spacing w:after="160" w:line="276" w:lineRule="auto"/>
      </w:pPr>
      <w:r>
        <w:t>The test cases below cover key functional and non-functional modules of the SolNav platform, specifying input parameters, expected outcomes, pass criteria, and execution priorities.</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1560"/>
        <w:gridCol w:w="1560"/>
        <w:gridCol w:w="1560"/>
        <w:gridCol w:w="1560"/>
        <w:gridCol w:w="1560"/>
        <w:gridCol w:w="1560"/>
      </w:tblGrid>
      <w:tr>
        <w:tc>
          <w:tcPr>
            <w:tcW w:type="dxa" w:w="1296"/>
            <w:shd w:fill="1B365D"/>
          </w:tcPr>
          <w:p>
            <w:r>
              <w:rPr>
                <w:b/>
                <w:color w:val="FFFFFF"/>
                <w:sz w:val="19"/>
              </w:rPr>
              <w:t>TC ID</w:t>
            </w:r>
          </w:p>
        </w:tc>
        <w:tc>
          <w:tcPr>
            <w:tcW w:type="dxa" w:w="1584"/>
            <w:shd w:fill="1B365D"/>
          </w:tcPr>
          <w:p>
            <w:r>
              <w:rPr>
                <w:b/>
                <w:color w:val="FFFFFF"/>
                <w:sz w:val="19"/>
              </w:rPr>
              <w:t>Module</w:t>
            </w:r>
          </w:p>
        </w:tc>
        <w:tc>
          <w:tcPr>
            <w:tcW w:type="dxa" w:w="2160"/>
            <w:shd w:fill="1B365D"/>
          </w:tcPr>
          <w:p>
            <w:r>
              <w:rPr>
                <w:b/>
                <w:color w:val="FFFFFF"/>
                <w:sz w:val="19"/>
              </w:rPr>
              <w:t>Test Description &amp; Steps</w:t>
            </w:r>
          </w:p>
        </w:tc>
        <w:tc>
          <w:tcPr>
            <w:tcW w:type="dxa" w:w="1728"/>
            <w:shd w:fill="1B365D"/>
          </w:tcPr>
          <w:p>
            <w:r>
              <w:rPr>
                <w:b/>
                <w:color w:val="FFFFFF"/>
                <w:sz w:val="19"/>
              </w:rPr>
              <w:t>Input Parameters</w:t>
            </w:r>
          </w:p>
        </w:tc>
        <w:tc>
          <w:tcPr>
            <w:tcW w:type="dxa" w:w="1872"/>
            <w:shd w:fill="1B365D"/>
          </w:tcPr>
          <w:p>
            <w:r>
              <w:rPr>
                <w:b/>
                <w:color w:val="FFFFFF"/>
                <w:sz w:val="19"/>
              </w:rPr>
              <w:t>Expected Result</w:t>
            </w:r>
          </w:p>
        </w:tc>
        <w:tc>
          <w:tcPr>
            <w:tcW w:type="dxa" w:w="720"/>
            <w:shd w:fill="1B365D"/>
          </w:tcPr>
          <w:p>
            <w:r>
              <w:rPr>
                <w:b/>
                <w:color w:val="FFFFFF"/>
                <w:sz w:val="19"/>
              </w:rPr>
              <w:t>Pri.</w:t>
            </w:r>
          </w:p>
        </w:tc>
      </w:tr>
      <w:tr>
        <w:tc>
          <w:tcPr>
            <w:tcW w:type="dxa" w:w="1296"/>
          </w:tcPr>
          <w:p>
            <w:pPr>
              <w:spacing w:before="60" w:after="60" w:line="252" w:lineRule="auto"/>
            </w:pPr>
            <w:r>
              <w:rPr>
                <w:b/>
                <w:sz w:val="18"/>
              </w:rPr>
              <w:t>TC-LOG-01</w:t>
            </w:r>
          </w:p>
        </w:tc>
        <w:tc>
          <w:tcPr>
            <w:tcW w:type="dxa" w:w="1584"/>
          </w:tcPr>
          <w:p>
            <w:pPr>
              <w:spacing w:before="60" w:after="60" w:line="252" w:lineRule="auto"/>
            </w:pPr>
            <w:r>
              <w:rPr>
                <w:sz w:val="18"/>
              </w:rPr>
              <w:t>Authentication</w:t>
            </w:r>
          </w:p>
        </w:tc>
        <w:tc>
          <w:tcPr>
            <w:tcW w:type="dxa" w:w="2160"/>
          </w:tcPr>
          <w:p>
            <w:pPr>
              <w:spacing w:before="60" w:after="60" w:line="252" w:lineRule="auto"/>
            </w:pPr>
            <w:r>
              <w:rPr>
                <w:sz w:val="18"/>
              </w:rPr>
              <w:t>Verify user login with valid credentials.</w:t>
            </w:r>
          </w:p>
        </w:tc>
        <w:tc>
          <w:tcPr>
            <w:tcW w:type="dxa" w:w="1728"/>
          </w:tcPr>
          <w:p>
            <w:pPr>
              <w:spacing w:before="60" w:after="60" w:line="252" w:lineRule="auto"/>
            </w:pPr>
            <w:r>
              <w:rPr>
                <w:sz w:val="18"/>
              </w:rPr>
              <w:t>Email: traveler@solnav.com, Pass: Valid@123</w:t>
            </w:r>
          </w:p>
        </w:tc>
        <w:tc>
          <w:tcPr>
            <w:tcW w:type="dxa" w:w="1872"/>
          </w:tcPr>
          <w:p>
            <w:pPr>
              <w:spacing w:before="60" w:after="60" w:line="252" w:lineRule="auto"/>
            </w:pPr>
            <w:r>
              <w:rPr>
                <w:sz w:val="18"/>
              </w:rPr>
              <w:t>Successful login, session token generated, redirected to main screen.</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TC-LOG-02</w:t>
            </w:r>
          </w:p>
        </w:tc>
        <w:tc>
          <w:tcPr>
            <w:tcW w:type="dxa" w:w="1584"/>
          </w:tcPr>
          <w:p>
            <w:pPr>
              <w:spacing w:before="60" w:after="60" w:line="252" w:lineRule="auto"/>
            </w:pPr>
            <w:r>
              <w:rPr>
                <w:sz w:val="18"/>
              </w:rPr>
              <w:t>Authentication</w:t>
            </w:r>
          </w:p>
        </w:tc>
        <w:tc>
          <w:tcPr>
            <w:tcW w:type="dxa" w:w="2160"/>
          </w:tcPr>
          <w:p>
            <w:pPr>
              <w:spacing w:before="60" w:after="60" w:line="252" w:lineRule="auto"/>
            </w:pPr>
            <w:r>
              <w:rPr>
                <w:sz w:val="18"/>
              </w:rPr>
              <w:t>Verify error handling for invalid password.</w:t>
            </w:r>
          </w:p>
        </w:tc>
        <w:tc>
          <w:tcPr>
            <w:tcW w:type="dxa" w:w="1728"/>
          </w:tcPr>
          <w:p>
            <w:pPr>
              <w:spacing w:before="60" w:after="60" w:line="252" w:lineRule="auto"/>
            </w:pPr>
            <w:r>
              <w:rPr>
                <w:sz w:val="18"/>
              </w:rPr>
              <w:t>Email: traveler@solnav.com, Pass: WrongPass</w:t>
            </w:r>
          </w:p>
        </w:tc>
        <w:tc>
          <w:tcPr>
            <w:tcW w:type="dxa" w:w="1872"/>
          </w:tcPr>
          <w:p>
            <w:pPr>
              <w:spacing w:before="60" w:after="60" w:line="252" w:lineRule="auto"/>
            </w:pPr>
            <w:r>
              <w:rPr>
                <w:sz w:val="18"/>
              </w:rPr>
              <w:t>Login denied, error prompt: 'Invalid username or password' displayed.</w:t>
            </w:r>
          </w:p>
        </w:tc>
        <w:tc>
          <w:tcPr>
            <w:tcW w:type="dxa" w:w="720"/>
          </w:tcPr>
          <w:p>
            <w:pPr>
              <w:spacing w:before="60" w:after="60" w:line="252" w:lineRule="auto"/>
              <w:jc w:val="center"/>
            </w:pPr>
            <w:r>
              <w:rPr>
                <w:sz w:val="18"/>
              </w:rPr>
              <w:t>P2</w:t>
            </w:r>
          </w:p>
        </w:tc>
      </w:tr>
      <w:tr>
        <w:tc>
          <w:tcPr>
            <w:tcW w:type="dxa" w:w="1296"/>
          </w:tcPr>
          <w:p>
            <w:pPr>
              <w:spacing w:before="60" w:after="60" w:line="252" w:lineRule="auto"/>
            </w:pPr>
            <w:r>
              <w:rPr>
                <w:b/>
                <w:sz w:val="18"/>
              </w:rPr>
              <w:t>TC-GPS-01</w:t>
            </w:r>
          </w:p>
        </w:tc>
        <w:tc>
          <w:tcPr>
            <w:tcW w:type="dxa" w:w="1584"/>
          </w:tcPr>
          <w:p>
            <w:pPr>
              <w:spacing w:before="60" w:after="60" w:line="252" w:lineRule="auto"/>
            </w:pPr>
            <w:r>
              <w:rPr>
                <w:sz w:val="18"/>
              </w:rPr>
              <w:t>Location Engine</w:t>
            </w:r>
          </w:p>
        </w:tc>
        <w:tc>
          <w:tcPr>
            <w:tcW w:type="dxa" w:w="2160"/>
          </w:tcPr>
          <w:p>
            <w:pPr>
              <w:spacing w:before="60" w:after="60" w:line="252" w:lineRule="auto"/>
            </w:pPr>
            <w:r>
              <w:rPr>
                <w:sz w:val="18"/>
              </w:rPr>
              <w:t>Verify live GPS coordinate acquisition upon app launch.</w:t>
            </w:r>
          </w:p>
        </w:tc>
        <w:tc>
          <w:tcPr>
            <w:tcW w:type="dxa" w:w="1728"/>
          </w:tcPr>
          <w:p>
            <w:pPr>
              <w:spacing w:before="60" w:after="60" w:line="252" w:lineRule="auto"/>
            </w:pPr>
            <w:r>
              <w:rPr>
                <w:sz w:val="18"/>
              </w:rPr>
              <w:t>Location services ENABLED, GPS signal active</w:t>
            </w:r>
          </w:p>
        </w:tc>
        <w:tc>
          <w:tcPr>
            <w:tcW w:type="dxa" w:w="1872"/>
          </w:tcPr>
          <w:p>
            <w:pPr>
              <w:spacing w:before="60" w:after="60" w:line="252" w:lineRule="auto"/>
            </w:pPr>
            <w:r>
              <w:rPr>
                <w:sz w:val="18"/>
              </w:rPr>
              <w:t>Valid Lat/Long coordinates acquired within ±5 meters accuracy.</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TC-GPS-02</w:t>
            </w:r>
          </w:p>
        </w:tc>
        <w:tc>
          <w:tcPr>
            <w:tcW w:type="dxa" w:w="1584"/>
          </w:tcPr>
          <w:p>
            <w:pPr>
              <w:spacing w:before="60" w:after="60" w:line="252" w:lineRule="auto"/>
            </w:pPr>
            <w:r>
              <w:rPr>
                <w:sz w:val="18"/>
              </w:rPr>
              <w:t>Location Engine</w:t>
            </w:r>
          </w:p>
        </w:tc>
        <w:tc>
          <w:tcPr>
            <w:tcW w:type="dxa" w:w="2160"/>
          </w:tcPr>
          <w:p>
            <w:pPr>
              <w:spacing w:before="60" w:after="60" w:line="252" w:lineRule="auto"/>
            </w:pPr>
            <w:r>
              <w:rPr>
                <w:sz w:val="18"/>
              </w:rPr>
              <w:t>Verify graceful degraded mode when GPS is disabled.</w:t>
            </w:r>
          </w:p>
        </w:tc>
        <w:tc>
          <w:tcPr>
            <w:tcW w:type="dxa" w:w="1728"/>
          </w:tcPr>
          <w:p>
            <w:pPr>
              <w:spacing w:before="60" w:after="60" w:line="252" w:lineRule="auto"/>
            </w:pPr>
            <w:r>
              <w:rPr>
                <w:sz w:val="18"/>
              </w:rPr>
              <w:t>Location services DISABLED by user</w:t>
            </w:r>
          </w:p>
        </w:tc>
        <w:tc>
          <w:tcPr>
            <w:tcW w:type="dxa" w:w="1872"/>
          </w:tcPr>
          <w:p>
            <w:pPr>
              <w:spacing w:before="60" w:after="60" w:line="252" w:lineRule="auto"/>
            </w:pPr>
            <w:r>
              <w:rPr>
                <w:sz w:val="18"/>
              </w:rPr>
              <w:t>App prompts user to enable GPS; offers manual city/location input.</w:t>
            </w:r>
          </w:p>
        </w:tc>
        <w:tc>
          <w:tcPr>
            <w:tcW w:type="dxa" w:w="720"/>
          </w:tcPr>
          <w:p>
            <w:pPr>
              <w:spacing w:before="60" w:after="60" w:line="252" w:lineRule="auto"/>
              <w:jc w:val="center"/>
            </w:pPr>
            <w:r>
              <w:rPr>
                <w:sz w:val="18"/>
              </w:rPr>
              <w:t>P2</w:t>
            </w:r>
          </w:p>
        </w:tc>
      </w:tr>
      <w:tr>
        <w:tc>
          <w:tcPr>
            <w:tcW w:type="dxa" w:w="1296"/>
          </w:tcPr>
          <w:p>
            <w:pPr>
              <w:spacing w:before="60" w:after="60" w:line="252" w:lineRule="auto"/>
            </w:pPr>
            <w:r>
              <w:rPr>
                <w:b/>
                <w:sz w:val="18"/>
              </w:rPr>
              <w:t>TC-SOL-01</w:t>
            </w:r>
          </w:p>
        </w:tc>
        <w:tc>
          <w:tcPr>
            <w:tcW w:type="dxa" w:w="1584"/>
          </w:tcPr>
          <w:p>
            <w:pPr>
              <w:spacing w:before="60" w:after="60" w:line="252" w:lineRule="auto"/>
            </w:pPr>
            <w:r>
              <w:rPr>
                <w:sz w:val="18"/>
              </w:rPr>
              <w:t>Solar Engine</w:t>
            </w:r>
          </w:p>
        </w:tc>
        <w:tc>
          <w:tcPr>
            <w:tcW w:type="dxa" w:w="2160"/>
          </w:tcPr>
          <w:p>
            <w:pPr>
              <w:spacing w:before="60" w:after="60" w:line="252" w:lineRule="auto"/>
            </w:pPr>
            <w:r>
              <w:rPr>
                <w:sz w:val="18"/>
              </w:rPr>
              <w:t>Calculate Sun Azimuth &amp; Elevation for given location and timestamp.</w:t>
            </w:r>
          </w:p>
        </w:tc>
        <w:tc>
          <w:tcPr>
            <w:tcW w:type="dxa" w:w="1728"/>
          </w:tcPr>
          <w:p>
            <w:pPr>
              <w:spacing w:before="60" w:after="60" w:line="252" w:lineRule="auto"/>
            </w:pPr>
            <w:r>
              <w:rPr>
                <w:sz w:val="18"/>
              </w:rPr>
              <w:t>Lat: 13.0827°N, Lon: 80.2707°E, Date/Time: 2026-08-01 10:00 AM</w:t>
            </w:r>
          </w:p>
        </w:tc>
        <w:tc>
          <w:tcPr>
            <w:tcW w:type="dxa" w:w="1872"/>
          </w:tcPr>
          <w:p>
            <w:pPr>
              <w:spacing w:before="60" w:after="60" w:line="252" w:lineRule="auto"/>
            </w:pPr>
            <w:r>
              <w:rPr>
                <w:sz w:val="18"/>
              </w:rPr>
              <w:t>Calculates Azimuth ~95.4°, Elevation ~52.1° matching NREL tolerance (±0.5°).</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TC-SHD-01</w:t>
            </w:r>
          </w:p>
        </w:tc>
        <w:tc>
          <w:tcPr>
            <w:tcW w:type="dxa" w:w="1584"/>
          </w:tcPr>
          <w:p>
            <w:pPr>
              <w:spacing w:before="60" w:after="60" w:line="252" w:lineRule="auto"/>
            </w:pPr>
            <w:r>
              <w:rPr>
                <w:sz w:val="18"/>
              </w:rPr>
              <w:t>Shade Recommender</w:t>
            </w:r>
          </w:p>
        </w:tc>
        <w:tc>
          <w:tcPr>
            <w:tcW w:type="dxa" w:w="2160"/>
          </w:tcPr>
          <w:p>
            <w:pPr>
              <w:spacing w:before="60" w:after="60" w:line="252" w:lineRule="auto"/>
            </w:pPr>
            <w:r>
              <w:rPr>
                <w:sz w:val="18"/>
              </w:rPr>
              <w:t>Determine shaded seating side for North-bound vehicle in morning.</w:t>
            </w:r>
          </w:p>
        </w:tc>
        <w:tc>
          <w:tcPr>
            <w:tcW w:type="dxa" w:w="1728"/>
          </w:tcPr>
          <w:p>
            <w:pPr>
              <w:spacing w:before="60" w:after="60" w:line="252" w:lineRule="auto"/>
            </w:pPr>
            <w:r>
              <w:rPr>
                <w:sz w:val="18"/>
              </w:rPr>
              <w:t>Vehicle Bearing: 000° (North), Time: 09:00 AM, Sun East (Azimuth ~085°)</w:t>
            </w:r>
          </w:p>
        </w:tc>
        <w:tc>
          <w:tcPr>
            <w:tcW w:type="dxa" w:w="1872"/>
          </w:tcPr>
          <w:p>
            <w:pPr>
              <w:spacing w:before="60" w:after="60" w:line="252" w:lineRule="auto"/>
            </w:pPr>
            <w:r>
              <w:rPr>
                <w:sz w:val="18"/>
              </w:rPr>
              <w:t>Recommends 'RIGHT SIDE' (West-facing) for optimal shade and minimal glare.</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TC-SHD-02</w:t>
            </w:r>
          </w:p>
        </w:tc>
        <w:tc>
          <w:tcPr>
            <w:tcW w:type="dxa" w:w="1584"/>
          </w:tcPr>
          <w:p>
            <w:pPr>
              <w:spacing w:before="60" w:after="60" w:line="252" w:lineRule="auto"/>
            </w:pPr>
            <w:r>
              <w:rPr>
                <w:sz w:val="18"/>
              </w:rPr>
              <w:t>Shade Recommender</w:t>
            </w:r>
          </w:p>
        </w:tc>
        <w:tc>
          <w:tcPr>
            <w:tcW w:type="dxa" w:w="2160"/>
          </w:tcPr>
          <w:p>
            <w:pPr>
              <w:spacing w:before="60" w:after="60" w:line="252" w:lineRule="auto"/>
            </w:pPr>
            <w:r>
              <w:rPr>
                <w:sz w:val="18"/>
              </w:rPr>
              <w:t>Determine shade side for South-bound vehicle in afternoon.</w:t>
            </w:r>
          </w:p>
        </w:tc>
        <w:tc>
          <w:tcPr>
            <w:tcW w:type="dxa" w:w="1728"/>
          </w:tcPr>
          <w:p>
            <w:pPr>
              <w:spacing w:before="60" w:after="60" w:line="252" w:lineRule="auto"/>
            </w:pPr>
            <w:r>
              <w:rPr>
                <w:sz w:val="18"/>
              </w:rPr>
              <w:t>Vehicle Bearing: 180° (South), Time: 03:30 PM, Sun West (Azimuth ~260°)</w:t>
            </w:r>
          </w:p>
        </w:tc>
        <w:tc>
          <w:tcPr>
            <w:tcW w:type="dxa" w:w="1872"/>
          </w:tcPr>
          <w:p>
            <w:pPr>
              <w:spacing w:before="60" w:after="60" w:line="252" w:lineRule="auto"/>
            </w:pPr>
            <w:r>
              <w:rPr>
                <w:sz w:val="18"/>
              </w:rPr>
              <w:t>Recommends 'LEFT SIDE' (East-facing) as shaded seating.</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TC-TSL-01</w:t>
            </w:r>
          </w:p>
        </w:tc>
        <w:tc>
          <w:tcPr>
            <w:tcW w:type="dxa" w:w="1584"/>
          </w:tcPr>
          <w:p>
            <w:pPr>
              <w:spacing w:before="60" w:after="60" w:line="252" w:lineRule="auto"/>
            </w:pPr>
            <w:r>
              <w:rPr>
                <w:sz w:val="18"/>
              </w:rPr>
              <w:t>Time Slider</w:t>
            </w:r>
          </w:p>
        </w:tc>
        <w:tc>
          <w:tcPr>
            <w:tcW w:type="dxa" w:w="2160"/>
          </w:tcPr>
          <w:p>
            <w:pPr>
              <w:spacing w:before="60" w:after="60" w:line="252" w:lineRule="auto"/>
            </w:pPr>
            <w:r>
              <w:rPr>
                <w:sz w:val="18"/>
              </w:rPr>
              <w:t>Drag time preview slider 3 hours forward.</w:t>
            </w:r>
          </w:p>
        </w:tc>
        <w:tc>
          <w:tcPr>
            <w:tcW w:type="dxa" w:w="1728"/>
          </w:tcPr>
          <w:p>
            <w:pPr>
              <w:spacing w:before="60" w:after="60" w:line="252" w:lineRule="auto"/>
            </w:pPr>
            <w:r>
              <w:rPr>
                <w:sz w:val="18"/>
              </w:rPr>
              <w:t>Current time: 10:00 AM -&gt; Drag slider to 01:00 PM</w:t>
            </w:r>
          </w:p>
        </w:tc>
        <w:tc>
          <w:tcPr>
            <w:tcW w:type="dxa" w:w="1872"/>
          </w:tcPr>
          <w:p>
            <w:pPr>
              <w:spacing w:before="60" w:after="60" w:line="252" w:lineRule="auto"/>
            </w:pPr>
            <w:r>
              <w:rPr>
                <w:sz w:val="18"/>
              </w:rPr>
              <w:t>Sun position, azimuth cone, and shade recommendation update dynamically.</w:t>
            </w:r>
          </w:p>
        </w:tc>
        <w:tc>
          <w:tcPr>
            <w:tcW w:type="dxa" w:w="720"/>
          </w:tcPr>
          <w:p>
            <w:pPr>
              <w:spacing w:before="60" w:after="60" w:line="252" w:lineRule="auto"/>
              <w:jc w:val="center"/>
            </w:pPr>
            <w:r>
              <w:rPr>
                <w:sz w:val="18"/>
              </w:rPr>
              <w:t>P2</w:t>
            </w:r>
          </w:p>
        </w:tc>
      </w:tr>
      <w:tr>
        <w:tc>
          <w:tcPr>
            <w:tcW w:type="dxa" w:w="1296"/>
          </w:tcPr>
          <w:p>
            <w:pPr>
              <w:spacing w:before="60" w:after="60" w:line="252" w:lineRule="auto"/>
            </w:pPr>
            <w:r>
              <w:rPr>
                <w:b/>
                <w:sz w:val="18"/>
              </w:rPr>
              <w:t>TC-RTE-01</w:t>
            </w:r>
          </w:p>
        </w:tc>
        <w:tc>
          <w:tcPr>
            <w:tcW w:type="dxa" w:w="1584"/>
          </w:tcPr>
          <w:p>
            <w:pPr>
              <w:spacing w:before="60" w:after="60" w:line="252" w:lineRule="auto"/>
            </w:pPr>
            <w:r>
              <w:rPr>
                <w:sz w:val="18"/>
              </w:rPr>
              <w:t>Route Mapper</w:t>
            </w:r>
          </w:p>
        </w:tc>
        <w:tc>
          <w:tcPr>
            <w:tcW w:type="dxa" w:w="2160"/>
          </w:tcPr>
          <w:p>
            <w:pPr>
              <w:spacing w:before="60" w:after="60" w:line="252" w:lineRule="auto"/>
            </w:pPr>
            <w:r>
              <w:rPr>
                <w:sz w:val="18"/>
              </w:rPr>
              <w:t>Render travel route and calculate glare exposure along journey.</w:t>
            </w:r>
          </w:p>
        </w:tc>
        <w:tc>
          <w:tcPr>
            <w:tcW w:type="dxa" w:w="1728"/>
          </w:tcPr>
          <w:p>
            <w:pPr>
              <w:spacing w:before="60" w:after="60" w:line="252" w:lineRule="auto"/>
            </w:pPr>
            <w:r>
              <w:rPr>
                <w:sz w:val="18"/>
              </w:rPr>
              <w:t>Origin: Chennai, Destination: Bengaluru, Transit: Bus</w:t>
            </w:r>
          </w:p>
        </w:tc>
        <w:tc>
          <w:tcPr>
            <w:tcW w:type="dxa" w:w="1872"/>
          </w:tcPr>
          <w:p>
            <w:pPr>
              <w:spacing w:before="60" w:after="60" w:line="252" w:lineRule="auto"/>
            </w:pPr>
            <w:r>
              <w:rPr>
                <w:sz w:val="18"/>
              </w:rPr>
              <w:t>Complete route polyline displayed with high glare zones highlighted in orange.</w:t>
            </w:r>
          </w:p>
        </w:tc>
        <w:tc>
          <w:tcPr>
            <w:tcW w:type="dxa" w:w="720"/>
          </w:tcPr>
          <w:p>
            <w:pPr>
              <w:spacing w:before="60" w:after="60" w:line="252" w:lineRule="auto"/>
              <w:jc w:val="center"/>
            </w:pPr>
            <w:r>
              <w:rPr>
                <w:b/>
                <w:color w:val="B40000"/>
                <w:sz w:val="18"/>
              </w:rPr>
              <w:t>P1</w:t>
            </w:r>
          </w:p>
        </w:tc>
      </w:tr>
      <w:tr>
        <w:tc>
          <w:tcPr>
            <w:tcW w:type="dxa" w:w="1296"/>
          </w:tcPr>
          <w:p>
            <w:pPr>
              <w:spacing w:before="60" w:after="60" w:line="252" w:lineRule="auto"/>
            </w:pPr>
            <w:r>
              <w:rPr>
                <w:b/>
                <w:sz w:val="18"/>
              </w:rPr>
              <w:t>TC-NOT-01</w:t>
            </w:r>
          </w:p>
        </w:tc>
        <w:tc>
          <w:tcPr>
            <w:tcW w:type="dxa" w:w="1584"/>
          </w:tcPr>
          <w:p>
            <w:pPr>
              <w:spacing w:before="60" w:after="60" w:line="252" w:lineRule="auto"/>
            </w:pPr>
            <w:r>
              <w:rPr>
                <w:sz w:val="18"/>
              </w:rPr>
              <w:t>Alert System</w:t>
            </w:r>
          </w:p>
        </w:tc>
        <w:tc>
          <w:tcPr>
            <w:tcW w:type="dxa" w:w="2160"/>
          </w:tcPr>
          <w:p>
            <w:pPr>
              <w:spacing w:before="60" w:after="60" w:line="252" w:lineRule="auto"/>
            </w:pPr>
            <w:r>
              <w:rPr>
                <w:sz w:val="18"/>
              </w:rPr>
              <w:t>Trigger Golden Hour notification 30 mins prior to sunset.</w:t>
            </w:r>
          </w:p>
        </w:tc>
        <w:tc>
          <w:tcPr>
            <w:tcW w:type="dxa" w:w="1728"/>
          </w:tcPr>
          <w:p>
            <w:pPr>
              <w:spacing w:before="60" w:after="60" w:line="252" w:lineRule="auto"/>
            </w:pPr>
            <w:r>
              <w:rPr>
                <w:sz w:val="18"/>
              </w:rPr>
              <w:t>User setting: Notifications ENABLED, Scheduled Sunset: 06:35 PM</w:t>
            </w:r>
          </w:p>
        </w:tc>
        <w:tc>
          <w:tcPr>
            <w:tcW w:type="dxa" w:w="1872"/>
          </w:tcPr>
          <w:p>
            <w:pPr>
              <w:spacing w:before="60" w:after="60" w:line="252" w:lineRule="auto"/>
            </w:pPr>
            <w:r>
              <w:rPr>
                <w:sz w:val="18"/>
              </w:rPr>
              <w:t>Push notification triggered at 06:05 PM: 'Golden Hour starting soon'.</w:t>
            </w:r>
          </w:p>
        </w:tc>
        <w:tc>
          <w:tcPr>
            <w:tcW w:type="dxa" w:w="720"/>
          </w:tcPr>
          <w:p>
            <w:pPr>
              <w:spacing w:before="60" w:after="60" w:line="252" w:lineRule="auto"/>
              <w:jc w:val="center"/>
            </w:pPr>
            <w:r>
              <w:rPr>
                <w:sz w:val="18"/>
              </w:rPr>
              <w:t>P3</w:t>
            </w:r>
          </w:p>
        </w:tc>
      </w:tr>
      <w:tr>
        <w:tc>
          <w:tcPr>
            <w:tcW w:type="dxa" w:w="1296"/>
          </w:tcPr>
          <w:p>
            <w:pPr>
              <w:spacing w:before="60" w:after="60" w:line="252" w:lineRule="auto"/>
            </w:pPr>
            <w:r>
              <w:rPr>
                <w:b/>
                <w:sz w:val="18"/>
              </w:rPr>
              <w:t>TC-PER-01</w:t>
            </w:r>
          </w:p>
        </w:tc>
        <w:tc>
          <w:tcPr>
            <w:tcW w:type="dxa" w:w="1584"/>
          </w:tcPr>
          <w:p>
            <w:pPr>
              <w:spacing w:before="60" w:after="60" w:line="252" w:lineRule="auto"/>
            </w:pPr>
            <w:r>
              <w:rPr>
                <w:sz w:val="18"/>
              </w:rPr>
              <w:t>Performance</w:t>
            </w:r>
          </w:p>
        </w:tc>
        <w:tc>
          <w:tcPr>
            <w:tcW w:type="dxa" w:w="2160"/>
          </w:tcPr>
          <w:p>
            <w:pPr>
              <w:spacing w:before="60" w:after="60" w:line="252" w:lineRule="auto"/>
            </w:pPr>
            <w:r>
              <w:rPr>
                <w:sz w:val="18"/>
              </w:rPr>
              <w:t>Measure battery consumption during 1-hour continuous tracking.</w:t>
            </w:r>
          </w:p>
        </w:tc>
        <w:tc>
          <w:tcPr>
            <w:tcW w:type="dxa" w:w="1728"/>
          </w:tcPr>
          <w:p>
            <w:pPr>
              <w:spacing w:before="60" w:after="60" w:line="252" w:lineRule="auto"/>
            </w:pPr>
            <w:r>
              <w:rPr>
                <w:sz w:val="18"/>
              </w:rPr>
              <w:t>App running in foreground, GPS active for 60 mins</w:t>
            </w:r>
          </w:p>
        </w:tc>
        <w:tc>
          <w:tcPr>
            <w:tcW w:type="dxa" w:w="1872"/>
          </w:tcPr>
          <w:p>
            <w:pPr>
              <w:spacing w:before="60" w:after="60" w:line="252" w:lineRule="auto"/>
            </w:pPr>
            <w:r>
              <w:rPr>
                <w:sz w:val="18"/>
              </w:rPr>
              <w:t>Battery drain does not exceed 8% per hour; no thermal throttling.</w:t>
            </w:r>
          </w:p>
        </w:tc>
        <w:tc>
          <w:tcPr>
            <w:tcW w:type="dxa" w:w="720"/>
          </w:tcPr>
          <w:p>
            <w:pPr>
              <w:spacing w:before="60" w:after="60" w:line="252" w:lineRule="auto"/>
              <w:jc w:val="center"/>
            </w:pPr>
            <w:r>
              <w:rPr>
                <w:sz w:val="18"/>
              </w:rPr>
              <w:t>P2</w:t>
            </w:r>
          </w:p>
        </w:tc>
      </w:tr>
    </w:tbl>
    <w:p>
      <w:pPr>
        <w:pStyle w:val="Heading1"/>
        <w:spacing w:before="360" w:after="120"/>
      </w:pPr>
      <w:r>
        <w:rPr>
          <w:color w:val="1B365D"/>
        </w:rPr>
        <w:t>3. Defect Classification &amp; Quality Metrics</w:t>
      </w:r>
    </w:p>
    <w:p>
      <w:pPr>
        <w:spacing w:after="160" w:line="276" w:lineRule="auto"/>
      </w:pPr>
      <w:r>
        <w:t>Defects identified during testing are logged, categorized by severity, and tracked to closure through an automated defect management workflow:</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1728"/>
            <w:shd w:fill="1B365D"/>
          </w:tcPr>
          <w:p>
            <w:r>
              <w:rPr>
                <w:b/>
                <w:color w:val="FFFFFF"/>
                <w:sz w:val="19"/>
              </w:rPr>
              <w:t>Severity Level</w:t>
            </w:r>
          </w:p>
        </w:tc>
        <w:tc>
          <w:tcPr>
            <w:tcW w:type="dxa" w:w="2592"/>
            <w:shd w:fill="1B365D"/>
          </w:tcPr>
          <w:p>
            <w:r>
              <w:rPr>
                <w:b/>
                <w:color w:val="FFFFFF"/>
                <w:sz w:val="19"/>
              </w:rPr>
              <w:t>Description Criteria</w:t>
            </w:r>
          </w:p>
        </w:tc>
        <w:tc>
          <w:tcPr>
            <w:tcW w:type="dxa" w:w="3312"/>
            <w:shd w:fill="1B365D"/>
          </w:tcPr>
          <w:p>
            <w:r>
              <w:rPr>
                <w:b/>
                <w:color w:val="FFFFFF"/>
                <w:sz w:val="19"/>
              </w:rPr>
              <w:t>Example Defect in SolNav</w:t>
            </w:r>
          </w:p>
        </w:tc>
        <w:tc>
          <w:tcPr>
            <w:tcW w:type="dxa" w:w="1728"/>
            <w:shd w:fill="1B365D"/>
          </w:tcPr>
          <w:p>
            <w:r>
              <w:rPr>
                <w:b/>
                <w:color w:val="FFFFFF"/>
                <w:sz w:val="19"/>
              </w:rPr>
              <w:t>Target Fix SLA</w:t>
            </w:r>
          </w:p>
        </w:tc>
      </w:tr>
      <w:tr>
        <w:tc>
          <w:tcPr>
            <w:tcW w:type="dxa" w:w="1728"/>
          </w:tcPr>
          <w:p>
            <w:pPr>
              <w:spacing w:before="60" w:after="60" w:line="252" w:lineRule="auto"/>
            </w:pPr>
            <w:r>
              <w:rPr>
                <w:b/>
                <w:sz w:val="18"/>
              </w:rPr>
              <w:t>S1 - Critical</w:t>
            </w:r>
          </w:p>
        </w:tc>
        <w:tc>
          <w:tcPr>
            <w:tcW w:type="dxa" w:w="2592"/>
          </w:tcPr>
          <w:p>
            <w:pPr>
              <w:spacing w:before="60" w:after="60" w:line="252" w:lineRule="auto"/>
            </w:pPr>
            <w:r>
              <w:rPr>
                <w:sz w:val="18"/>
              </w:rPr>
              <w:t>App crash, core solar algorithm calculation failure, or complete location lock failure.</w:t>
            </w:r>
          </w:p>
        </w:tc>
        <w:tc>
          <w:tcPr>
            <w:tcW w:type="dxa" w:w="3312"/>
          </w:tcPr>
          <w:p>
            <w:pPr>
              <w:spacing w:before="60" w:after="60" w:line="252" w:lineRule="auto"/>
            </w:pPr>
            <w:r>
              <w:rPr>
                <w:sz w:val="18"/>
              </w:rPr>
              <w:t>App crashes on launch when location permission is granted.</w:t>
            </w:r>
          </w:p>
        </w:tc>
        <w:tc>
          <w:tcPr>
            <w:tcW w:type="dxa" w:w="1728"/>
          </w:tcPr>
          <w:p>
            <w:pPr>
              <w:spacing w:before="60" w:after="60" w:line="252" w:lineRule="auto"/>
            </w:pPr>
            <w:r>
              <w:rPr>
                <w:sz w:val="18"/>
              </w:rPr>
              <w:t>&lt; 24 Hours</w:t>
            </w:r>
          </w:p>
        </w:tc>
      </w:tr>
      <w:tr>
        <w:tc>
          <w:tcPr>
            <w:tcW w:type="dxa" w:w="1728"/>
          </w:tcPr>
          <w:p>
            <w:pPr>
              <w:spacing w:before="60" w:after="60" w:line="252" w:lineRule="auto"/>
            </w:pPr>
            <w:r>
              <w:rPr>
                <w:b/>
                <w:sz w:val="18"/>
              </w:rPr>
              <w:t>S2 - High</w:t>
            </w:r>
          </w:p>
        </w:tc>
        <w:tc>
          <w:tcPr>
            <w:tcW w:type="dxa" w:w="2592"/>
          </w:tcPr>
          <w:p>
            <w:pPr>
              <w:spacing w:before="60" w:after="60" w:line="252" w:lineRule="auto"/>
            </w:pPr>
            <w:r>
              <w:rPr>
                <w:sz w:val="18"/>
              </w:rPr>
              <w:t>Major functional defect without a workaround; shade recommendation inverted.</w:t>
            </w:r>
          </w:p>
        </w:tc>
        <w:tc>
          <w:tcPr>
            <w:tcW w:type="dxa" w:w="3312"/>
          </w:tcPr>
          <w:p>
            <w:pPr>
              <w:spacing w:before="60" w:after="60" w:line="252" w:lineRule="auto"/>
            </w:pPr>
            <w:r>
              <w:rPr>
                <w:sz w:val="18"/>
              </w:rPr>
              <w:t>Shade recommender outputting opposite side (Left instead of Right).</w:t>
            </w:r>
          </w:p>
        </w:tc>
        <w:tc>
          <w:tcPr>
            <w:tcW w:type="dxa" w:w="1728"/>
          </w:tcPr>
          <w:p>
            <w:pPr>
              <w:spacing w:before="60" w:after="60" w:line="252" w:lineRule="auto"/>
            </w:pPr>
            <w:r>
              <w:rPr>
                <w:sz w:val="18"/>
              </w:rPr>
              <w:t>&lt; 48 Hours</w:t>
            </w:r>
          </w:p>
        </w:tc>
      </w:tr>
      <w:tr>
        <w:tc>
          <w:tcPr>
            <w:tcW w:type="dxa" w:w="1728"/>
          </w:tcPr>
          <w:p>
            <w:pPr>
              <w:spacing w:before="60" w:after="60" w:line="252" w:lineRule="auto"/>
            </w:pPr>
            <w:r>
              <w:rPr>
                <w:b/>
                <w:sz w:val="18"/>
              </w:rPr>
              <w:t>S3 - Medium</w:t>
            </w:r>
          </w:p>
        </w:tc>
        <w:tc>
          <w:tcPr>
            <w:tcW w:type="dxa" w:w="2592"/>
          </w:tcPr>
          <w:p>
            <w:pPr>
              <w:spacing w:before="60" w:after="60" w:line="252" w:lineRule="auto"/>
            </w:pPr>
            <w:r>
              <w:rPr>
                <w:sz w:val="18"/>
              </w:rPr>
              <w:t>Minor feature impairment; workaround exists.</w:t>
            </w:r>
          </w:p>
        </w:tc>
        <w:tc>
          <w:tcPr>
            <w:tcW w:type="dxa" w:w="3312"/>
          </w:tcPr>
          <w:p>
            <w:pPr>
              <w:spacing w:before="60" w:after="60" w:line="252" w:lineRule="auto"/>
            </w:pPr>
            <w:r>
              <w:rPr>
                <w:sz w:val="18"/>
              </w:rPr>
              <w:t>Time slider UI lags slightly during rapid sliding.</w:t>
            </w:r>
          </w:p>
        </w:tc>
        <w:tc>
          <w:tcPr>
            <w:tcW w:type="dxa" w:w="1728"/>
          </w:tcPr>
          <w:p>
            <w:pPr>
              <w:spacing w:before="60" w:after="60" w:line="252" w:lineRule="auto"/>
            </w:pPr>
            <w:r>
              <w:rPr>
                <w:sz w:val="18"/>
              </w:rPr>
              <w:t>&lt; 5 Business Days</w:t>
            </w:r>
          </w:p>
        </w:tc>
      </w:tr>
      <w:tr>
        <w:tc>
          <w:tcPr>
            <w:tcW w:type="dxa" w:w="1728"/>
          </w:tcPr>
          <w:p>
            <w:pPr>
              <w:spacing w:before="60" w:after="60" w:line="252" w:lineRule="auto"/>
            </w:pPr>
            <w:r>
              <w:rPr>
                <w:b/>
                <w:sz w:val="18"/>
              </w:rPr>
              <w:t>S4 - Low</w:t>
            </w:r>
          </w:p>
        </w:tc>
        <w:tc>
          <w:tcPr>
            <w:tcW w:type="dxa" w:w="2592"/>
          </w:tcPr>
          <w:p>
            <w:pPr>
              <w:spacing w:before="60" w:after="60" w:line="252" w:lineRule="auto"/>
            </w:pPr>
            <w:r>
              <w:rPr>
                <w:sz w:val="18"/>
              </w:rPr>
              <w:t>Cosmetic issues, visual misalignment, or typo in notification text.</w:t>
            </w:r>
          </w:p>
        </w:tc>
        <w:tc>
          <w:tcPr>
            <w:tcW w:type="dxa" w:w="3312"/>
          </w:tcPr>
          <w:p>
            <w:pPr>
              <w:spacing w:before="60" w:after="60" w:line="252" w:lineRule="auto"/>
            </w:pPr>
            <w:r>
              <w:rPr>
                <w:sz w:val="18"/>
              </w:rPr>
              <w:t>Incorrect font padding on Golden Hour notification popup.</w:t>
            </w:r>
          </w:p>
        </w:tc>
        <w:tc>
          <w:tcPr>
            <w:tcW w:type="dxa" w:w="1728"/>
          </w:tcPr>
          <w:p>
            <w:pPr>
              <w:spacing w:before="60" w:after="60" w:line="252" w:lineRule="auto"/>
            </w:pPr>
            <w:r>
              <w:rPr>
                <w:sz w:val="18"/>
              </w:rPr>
              <w:t>Next Scheduled Release</w:t>
            </w:r>
          </w:p>
        </w:tc>
      </w:tr>
    </w:tbl>
    <w:p>
      <w:pPr>
        <w:pStyle w:val="Heading1"/>
        <w:spacing w:before="360" w:after="120"/>
      </w:pPr>
      <w:r>
        <w:rPr>
          <w:color w:val="1B365D"/>
        </w:rPr>
        <w:t>4. Post-Deployment Software Maintenance Strategy</w:t>
      </w:r>
    </w:p>
    <w:p>
      <w:pPr>
        <w:spacing w:after="160" w:line="276" w:lineRule="auto"/>
      </w:pPr>
      <w:r>
        <w:t>Following initial deployment, the SolNav software system requires continuous lifecycle maintenance to adapt to evolving OS platforms, dynamic transit routes, hardware sensor updates, and user requirements. The maintenance strategy is divided into four standard ISO/IEC 14764 maintenance categories:</w:t>
      </w:r>
    </w:p>
    <w:p>
      <w:pPr>
        <w:spacing w:before="80" w:after="80" w:line="276" w:lineRule="auto"/>
      </w:pPr>
      <w:r>
        <w:rPr>
          <w:b/>
          <w:color w:val="4A777A"/>
        </w:rPr>
        <w:t>1. Corrective Maintenance (Bug Fixing &amp; Sensor Drift Patches):</w:t>
        <w:br/>
      </w:r>
      <w:r>
        <w:t>Focuses on diagnosing and resolving production bugs, sensor drift issues, and unexpected crash reports. For example, issuing hotfixes for magnetic declination calibration errors on specific Android/iOS device models or resolving Mapbox rendering glitches.</w:t>
      </w:r>
    </w:p>
    <w:p>
      <w:pPr>
        <w:spacing w:before="80" w:after="80" w:line="276" w:lineRule="auto"/>
      </w:pPr>
      <w:r>
        <w:rPr>
          <w:b/>
          <w:color w:val="4A777A"/>
        </w:rPr>
        <w:t>2. Adaptive Maintenance (OS Platform &amp; Map API Updates):</w:t>
        <w:br/>
      </w:r>
      <w:r>
        <w:t>Ensures SolNav remains compatible with external technical environment changes. Includes adapting to new mobile OS updates (Android 16+, iOS releases), upgrading third-party Mapbox/Google Maps APIs, and maintaining database migration scripts for PostgreSQL/Firebase.</w:t>
      </w:r>
    </w:p>
    <w:p>
      <w:pPr>
        <w:spacing w:before="80" w:after="80" w:line="276" w:lineRule="auto"/>
      </w:pPr>
      <w:r>
        <w:rPr>
          <w:b/>
          <w:color w:val="4A777A"/>
        </w:rPr>
        <w:t>3. Perfective Maintenance (Performance Optimization &amp; Feature Enhancements):</w:t>
        <w:br/>
      </w:r>
      <w:r>
        <w:t>Improves software maintainability, execution efficiency, and user experience based on real commuter feedback. Planned enhancements include Augmented Reality (AR) camera overlays showing sun positions live on screen, real-time weather integration (cloud coverage glare attenuation), and battery-saving background GPS algorithms.</w:t>
      </w:r>
    </w:p>
    <w:p>
      <w:pPr>
        <w:spacing w:before="80" w:after="80" w:line="276" w:lineRule="auto"/>
      </w:pPr>
      <w:r>
        <w:rPr>
          <w:b/>
          <w:color w:val="4A777A"/>
        </w:rPr>
        <w:t>4. Preventive Maintenance (Code Refactoring &amp; Security Audits):</w:t>
        <w:br/>
      </w:r>
      <w:r>
        <w:t>Proactively addresses code degradation, security vulnerabilities, and system debt before failures occur. Includes regular updating of dependencies, executing static code analysis (Linting/SonarQube), upgrading cloud microservices security patches on AWS/GCP, and optimizing database index performance.</w:t>
      </w:r>
    </w:p>
    <w:p>
      <w:pPr>
        <w:pStyle w:val="Heading1"/>
        <w:spacing w:before="360" w:after="120"/>
      </w:pPr>
      <w:r>
        <w:rPr>
          <w:color w:val="1B365D"/>
        </w:rPr>
        <w:t>5. Maintenance Workflow &amp; Support Operational SLA</w:t>
      </w:r>
    </w:p>
    <w:p>
      <w:pPr>
        <w:spacing w:after="160" w:line="276" w:lineRule="auto"/>
      </w:pPr>
      <w:r>
        <w:t>To operationalize software maintenance, a structured 3-tier support hierarchy backed by automated telemetry monitoring (Firebase Crashlytics, Sentry) is deployed:</w:t>
      </w:r>
    </w:p>
    <w:tbl>
      <w:tblPr>
        <w:tblW w:type="auto" w:w="0"/>
        <w:jc w:val="center"/>
        <w:tblLayout w:type="fixed"/>
        <w:tblLook w:firstColumn="1" w:firstRow="1" w:lastColumn="0" w:lastRow="0" w:noHBand="0" w:noVBand="1" w:val="04A0"/>
        <w:tblBorders>
          <w:top w:val="single" w:sz="4" w:space="0" w:color="D3D3D3"/>
          <w:bottom w:val="single" w:sz="6" w:space="0" w:color="1B365D"/>
          <w:insideH w:val="single" w:sz="4" w:space="0" w:color="D3D3D3"/>
          <w:insideV w:val="none"/>
          <w:left w:val="none"/>
          <w:right w:val="none"/>
        </w:tblBorders>
      </w:tblPr>
      <w:tblGrid>
        <w:gridCol w:w="2340"/>
        <w:gridCol w:w="2340"/>
        <w:gridCol w:w="2340"/>
        <w:gridCol w:w="2340"/>
      </w:tblGrid>
      <w:tr>
        <w:tc>
          <w:tcPr>
            <w:tcW w:type="dxa" w:w="1728"/>
            <w:shd w:fill="1B365D"/>
          </w:tcPr>
          <w:p>
            <w:r>
              <w:rPr>
                <w:b/>
                <w:color w:val="FFFFFF"/>
                <w:sz w:val="19"/>
              </w:rPr>
              <w:t>Support Tier</w:t>
            </w:r>
          </w:p>
        </w:tc>
        <w:tc>
          <w:tcPr>
            <w:tcW w:type="dxa" w:w="2592"/>
            <w:shd w:fill="1B365D"/>
          </w:tcPr>
          <w:p>
            <w:r>
              <w:rPr>
                <w:b/>
                <w:color w:val="FFFFFF"/>
                <w:sz w:val="19"/>
              </w:rPr>
              <w:t>Target Resolution Scope</w:t>
            </w:r>
          </w:p>
        </w:tc>
        <w:tc>
          <w:tcPr>
            <w:tcW w:type="dxa" w:w="3168"/>
            <w:shd w:fill="1B365D"/>
          </w:tcPr>
          <w:p>
            <w:r>
              <w:rPr>
                <w:b/>
                <w:color w:val="FFFFFF"/>
                <w:sz w:val="19"/>
              </w:rPr>
              <w:t>Responsible Team</w:t>
            </w:r>
          </w:p>
        </w:tc>
        <w:tc>
          <w:tcPr>
            <w:tcW w:type="dxa" w:w="1872"/>
            <w:shd w:fill="1B365D"/>
          </w:tcPr>
          <w:p>
            <w:r>
              <w:rPr>
                <w:b/>
                <w:color w:val="FFFFFF"/>
                <w:sz w:val="19"/>
              </w:rPr>
              <w:t>Operation SLA</w:t>
            </w:r>
          </w:p>
        </w:tc>
      </w:tr>
      <w:tr>
        <w:tc>
          <w:tcPr>
            <w:tcW w:type="dxa" w:w="1728"/>
          </w:tcPr>
          <w:p>
            <w:pPr>
              <w:spacing w:before="60" w:after="60" w:line="252" w:lineRule="auto"/>
            </w:pPr>
            <w:r>
              <w:rPr>
                <w:b/>
                <w:sz w:val="18"/>
              </w:rPr>
              <w:t>Tier 1: Helpdesk</w:t>
            </w:r>
          </w:p>
        </w:tc>
        <w:tc>
          <w:tcPr>
            <w:tcW w:type="dxa" w:w="2592"/>
          </w:tcPr>
          <w:p>
            <w:pPr>
              <w:spacing w:before="60" w:after="60" w:line="252" w:lineRule="auto"/>
            </w:pPr>
            <w:r>
              <w:rPr>
                <w:sz w:val="18"/>
              </w:rPr>
              <w:t>User inquiry resolution, basic account settings, dynamic compass calibration instructions.</w:t>
            </w:r>
          </w:p>
        </w:tc>
        <w:tc>
          <w:tcPr>
            <w:tcW w:type="dxa" w:w="3168"/>
          </w:tcPr>
          <w:p>
            <w:pPr>
              <w:spacing w:before="60" w:after="60" w:line="252" w:lineRule="auto"/>
            </w:pPr>
            <w:r>
              <w:rPr>
                <w:sz w:val="18"/>
              </w:rPr>
              <w:t>Customer Support Team</w:t>
            </w:r>
          </w:p>
        </w:tc>
        <w:tc>
          <w:tcPr>
            <w:tcW w:type="dxa" w:w="1872"/>
          </w:tcPr>
          <w:p>
            <w:pPr>
              <w:spacing w:before="60" w:after="60" w:line="252" w:lineRule="auto"/>
            </w:pPr>
            <w:r>
              <w:rPr>
                <w:sz w:val="18"/>
              </w:rPr>
              <w:t>First Contact Resolution</w:t>
            </w:r>
          </w:p>
        </w:tc>
      </w:tr>
      <w:tr>
        <w:tc>
          <w:tcPr>
            <w:tcW w:type="dxa" w:w="1728"/>
          </w:tcPr>
          <w:p>
            <w:pPr>
              <w:spacing w:before="60" w:after="60" w:line="252" w:lineRule="auto"/>
            </w:pPr>
            <w:r>
              <w:rPr>
                <w:b/>
                <w:sz w:val="18"/>
              </w:rPr>
              <w:t>Tier 2: Tech Support</w:t>
            </w:r>
          </w:p>
        </w:tc>
        <w:tc>
          <w:tcPr>
            <w:tcW w:type="dxa" w:w="2592"/>
          </w:tcPr>
          <w:p>
            <w:pPr>
              <w:spacing w:before="60" w:after="60" w:line="252" w:lineRule="auto"/>
            </w:pPr>
            <w:r>
              <w:rPr>
                <w:sz w:val="18"/>
              </w:rPr>
              <w:t>Sensor drift troubleshooting, map cache clearing, location permission configuration.</w:t>
            </w:r>
          </w:p>
        </w:tc>
        <w:tc>
          <w:tcPr>
            <w:tcW w:type="dxa" w:w="3168"/>
          </w:tcPr>
          <w:p>
            <w:pPr>
              <w:spacing w:before="60" w:after="60" w:line="252" w:lineRule="auto"/>
            </w:pPr>
            <w:r>
              <w:rPr>
                <w:sz w:val="18"/>
              </w:rPr>
              <w:t>Application Operations Team</w:t>
            </w:r>
          </w:p>
        </w:tc>
        <w:tc>
          <w:tcPr>
            <w:tcW w:type="dxa" w:w="1872"/>
          </w:tcPr>
          <w:p>
            <w:pPr>
              <w:spacing w:before="60" w:after="60" w:line="252" w:lineRule="auto"/>
            </w:pPr>
            <w:r>
              <w:rPr>
                <w:sz w:val="18"/>
              </w:rPr>
              <w:t>&lt; 4 Hours</w:t>
            </w:r>
          </w:p>
        </w:tc>
      </w:tr>
      <w:tr>
        <w:tc>
          <w:tcPr>
            <w:tcW w:type="dxa" w:w="1728"/>
          </w:tcPr>
          <w:p>
            <w:pPr>
              <w:spacing w:before="60" w:after="60" w:line="252" w:lineRule="auto"/>
            </w:pPr>
            <w:r>
              <w:rPr>
                <w:b/>
                <w:sz w:val="18"/>
              </w:rPr>
              <w:t>Tier 3: Engineering</w:t>
            </w:r>
          </w:p>
        </w:tc>
        <w:tc>
          <w:tcPr>
            <w:tcW w:type="dxa" w:w="2592"/>
          </w:tcPr>
          <w:p>
            <w:pPr>
              <w:spacing w:before="60" w:after="60" w:line="252" w:lineRule="auto"/>
            </w:pPr>
            <w:r>
              <w:rPr>
                <w:sz w:val="18"/>
              </w:rPr>
              <w:t>Core solar engine algorithm fixes, mobile app patch releases, backend API &amp; DB maintenance.</w:t>
            </w:r>
          </w:p>
        </w:tc>
        <w:tc>
          <w:tcPr>
            <w:tcW w:type="dxa" w:w="3168"/>
          </w:tcPr>
          <w:p>
            <w:pPr>
              <w:spacing w:before="60" w:after="60" w:line="252" w:lineRule="auto"/>
            </w:pPr>
            <w:r>
              <w:rPr>
                <w:sz w:val="18"/>
              </w:rPr>
              <w:t>DevOps &amp; Core Dev Team</w:t>
            </w:r>
          </w:p>
        </w:tc>
        <w:tc>
          <w:tcPr>
            <w:tcW w:type="dxa" w:w="1872"/>
          </w:tcPr>
          <w:p>
            <w:pPr>
              <w:spacing w:before="60" w:after="60" w:line="252" w:lineRule="auto"/>
            </w:pPr>
            <w:r>
              <w:rPr>
                <w:sz w:val="18"/>
              </w:rPr>
              <w:t>&lt; 24 Hours (Critical)</w:t>
            </w:r>
          </w:p>
        </w:tc>
      </w:tr>
    </w:tbl>
    <w:tbl>
      <w:tblPr>
        <w:tblW w:type="auto" w:w="0"/>
        <w:jc w:val="center"/>
        <w:tblLook w:firstColumn="1" w:firstRow="1" w:lastColumn="0" w:lastRow="0" w:noHBand="0" w:noVBand="1" w:val="04A0"/>
        <w:tblBorders>
          <w:top w:val="single" w:sz="4" w:space="0" w:color="4A777A"/>
          <w:bottom w:val="single" w:sz="6" w:space="0" w:color="1B365D"/>
          <w:insideH w:val="single" w:sz="4" w:space="0" w:color="4A777A"/>
          <w:insideV w:val="none"/>
          <w:left w:val="none"/>
          <w:right w:val="none"/>
        </w:tblBorders>
      </w:tblPr>
      <w:tblGrid>
        <w:gridCol w:w="9360"/>
      </w:tblGrid>
      <w:tr>
        <w:tc>
          <w:tcPr>
            <w:tcW w:type="dxa" w:w="9360"/>
            <w:shd w:fill="F9FBFD"/>
          </w:tcPr>
          <w:p>
            <w:pPr>
              <w:spacing w:before="120" w:after="120"/>
              <w:ind w:left="144" w:right="144"/>
            </w:pPr>
            <w:r>
              <w:rPr>
                <w:b/>
                <w:color w:val="4A777A"/>
                <w:sz w:val="20"/>
              </w:rPr>
              <w:t>RELEASE CADENCE &amp; MAINTENANCE SCHEDULE:</w:t>
              <w:br/>
            </w:r>
            <w:r>
              <w:t xml:space="preserve">• </w:t>
            </w:r>
            <w:r>
              <w:rPr>
                <w:b/>
              </w:rPr>
              <w:t xml:space="preserve">Hotfix Patches (v1.0.x): </w:t>
            </w:r>
            <w:r>
              <w:t>Deployed immediately upon identification of S1/S2 critical bugs via CI/CD.</w:t>
              <w:br/>
            </w:r>
            <w:r>
              <w:t xml:space="preserve">• </w:t>
            </w:r>
            <w:r>
              <w:rPr>
                <w:b/>
              </w:rPr>
              <w:t xml:space="preserve">Bi-Weekly Maintenance Releases (v1.x.0): </w:t>
            </w:r>
            <w:r>
              <w:t>Includes non-critical bug fixes, minor performance improvements, and API dependency updates.</w:t>
              <w:br/>
            </w:r>
            <w:r>
              <w:t xml:space="preserve">• </w:t>
            </w:r>
            <w:r>
              <w:rPr>
                <w:b/>
              </w:rPr>
              <w:t xml:space="preserve">Quarterly Major Updates (vX.0.0): </w:t>
            </w:r>
            <w:r>
              <w:t>Delivers new feature additions (e.g., AR overlay, offline route caching, expanded transit databases).</w:t>
              <w:br/>
            </w:r>
          </w:p>
        </w:tc>
      </w:tr>
    </w:tbl>
    <w:p>
      <w:pPr>
        <w:spacing w:before="400"/>
        <w:jc w:val="center"/>
      </w:pPr>
      <w:r>
        <w:rPr>
          <w:i/>
          <w:color w:val="646464"/>
          <w:sz w:val="19"/>
        </w:rPr>
        <w:t>— End of Test Cases &amp; Maintenance Plan Document —</w:t>
        <w:br/>
        <w:t>Prepared by Sibisarathi P (Roll No: 241201053)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