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b/>
          <w:bCs/>
          <w:color w:val="112145"/>
          <w:sz w:val="48"/>
          <w:szCs w:val="48"/>
        </w:rPr>
        <w:t xml:space="preserve">Olist Brazilian E-commerce Portfolio Project SOP</w:t>
      </w:r>
    </w:p>
    <w:p>
      <w:pPr>
        <w:spacing w:after="240"/>
      </w:pPr>
      <w:r>
        <w:rPr>
          <w:color w:val="15579E"/>
          <w:sz w:val="28"/>
          <w:szCs w:val="28"/>
        </w:rPr>
        <w:t xml:space="preserve">Part 2: Power BI (Load, Model, Measures and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cantSplit/>
          <w:tblHeader/>
        </w:trPr>
        <w:tc>
          <w:tcPr>
            <w:tcW w:type="dxa" w:w="2224"/>
            <w:tcBorders>
              <w:top w:val="single" w:color="BFBFBF" w:sz="4"/>
              <w:left w:val="single" w:color="BFBFBF" w:sz="4"/>
              <w:bottom w:val="single" w:color="BFBFBF" w:sz="4"/>
              <w:right w:val="single" w:color="BFBFBF" w:sz="4"/>
            </w:tcBorders>
            <w:shd w:fill="112145"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7414"/>
            <w:tcBorders>
              <w:top w:val="single" w:color="BFBFBF" w:sz="4"/>
              <w:left w:val="single" w:color="BFBFBF" w:sz="4"/>
              <w:bottom w:val="single" w:color="BFBFBF" w:sz="4"/>
              <w:right w:val="single" w:color="BFBFBF" w:sz="4"/>
            </w:tcBorders>
            <w:shd w:fill="112145" w:color="auto" w:val="clear"/>
            <w:tcMar>
              <w:top w:type="dxa" w:w="60"/>
              <w:left w:type="dxa" w:w="100"/>
              <w:bottom w:type="dxa" w:w="60"/>
              <w:right w:type="dxa" w:w="100"/>
            </w:tcMar>
          </w:tcPr>
          <w:p>
            <w:pPr>
              <w:spacing w:after="0"/>
            </w:pPr>
            <w:r>
              <w:rPr>
                <w:b/>
                <w:bCs/>
                <w:color w:val="FFFFFF"/>
                <w:sz w:val="19"/>
                <w:szCs w:val="19"/>
              </w:rPr>
              <w:t xml:space="preserve">Detail</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Project</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Olist Brazilian E-commerce analysis (Kaggle dataset)</w:t>
            </w:r>
          </w:p>
        </w:tc>
      </w:tr>
      <w:tr>
        <w:trPr>
          <w:cantSplit/>
        </w:trPr>
        <w:tc>
          <w:tcPr>
            <w:tcW w:type="dxa" w:w="2224"/>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Prepared by</w:t>
            </w:r>
          </w:p>
        </w:tc>
        <w:tc>
          <w:tcPr>
            <w:tcW w:type="dxa" w:w="7414"/>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Sibongile Seale</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Version / date</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v1.0, October 2026</w:t>
            </w:r>
          </w:p>
        </w:tc>
      </w:tr>
      <w:tr>
        <w:trPr>
          <w:cantSplit/>
        </w:trPr>
        <w:tc>
          <w:tcPr>
            <w:tcW w:type="dxa" w:w="2224"/>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Tools</w:t>
            </w:r>
          </w:p>
        </w:tc>
        <w:tc>
          <w:tcPr>
            <w:tcW w:type="dxa" w:w="7414"/>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Power BI (DAX), SQL Server (SSMS) for validation</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Follows</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Part 1: SQL Extract and Transform SOP (builds the </w:t>
            </w:r>
            <w:r>
              <w:rPr>
                <w:rFonts w:ascii="Consolas" w:cs="Consolas" w:eastAsia="Consolas" w:hAnsi="Consolas"/>
                <w:color w:val="7B2C2C"/>
                <w:sz w:val="17"/>
                <w:szCs w:val="17"/>
              </w:rPr>
              <w:t xml:space="preserve">dw</w:t>
            </w:r>
            <w:r>
              <w:rPr>
                <w:sz w:val="19"/>
                <w:szCs w:val="19"/>
              </w:rPr>
              <w:t xml:space="preserve"> warehouse this document connects to)</w:t>
            </w:r>
          </w:p>
        </w:tc>
      </w:tr>
      <w:tr>
        <w:trPr>
          <w:cantSplit/>
        </w:trPr>
        <w:tc>
          <w:tcPr>
            <w:tcW w:type="dxa" w:w="2224"/>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Status</w:t>
            </w:r>
          </w:p>
        </w:tc>
        <w:tc>
          <w:tcPr>
            <w:tcW w:type="dxa" w:w="7414"/>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Model, measures and three pages built and reconciled to SQL. Visual styling in progress.</w:t>
            </w:r>
          </w:p>
        </w:tc>
      </w:tr>
    </w:tbl>
    <w:p>
      <w:pPr>
        <w:spacing w:after="80"/>
      </w:pPr>
      <w:r>
        <w:t xml:space="preserve"/>
      </w:r>
    </w:p>
    <w:p>
      <w:pPr>
        <w:pStyle w:val="Heading1"/>
      </w:pPr>
      <w:r>
        <w:t xml:space="preserve">1. Purpose and scope</w:t>
      </w:r>
    </w:p>
    <w:p>
      <w:pPr>
        <w:spacing w:after="120"/>
      </w:pPr>
      <w:r>
        <w:t xml:space="preserve">This SOP records how the clean </w:t>
      </w:r>
      <w:r>
        <w:rPr>
          <w:rFonts w:ascii="Consolas" w:cs="Consolas" w:eastAsia="Consolas" w:hAnsi="Consolas"/>
          <w:color w:val="7B2C2C"/>
          <w:sz w:val="19"/>
          <w:szCs w:val="19"/>
        </w:rPr>
        <w:t xml:space="preserve">dw</w:t>
      </w:r>
      <w:r>
        <w:t xml:space="preserve"> warehouse was loaded into Power BI, modelled, measured and turned into a three-page dashboard. Following the steps in order rebuilds the report from scratch.</w:t>
      </w:r>
    </w:p>
    <w:p>
      <w:pPr>
        <w:spacing w:after="120"/>
      </w:pPr>
      <w:r>
        <w:rPr>
          <w:b/>
          <w:bCs/>
        </w:rPr>
        <w:t xml:space="preserve">Before you start:</w:t>
      </w:r>
      <w:r>
        <w:t xml:space="preserve"> the </w:t>
      </w:r>
      <w:r>
        <w:rPr>
          <w:rFonts w:ascii="Consolas" w:cs="Consolas" w:eastAsia="Consolas" w:hAnsi="Consolas"/>
          <w:color w:val="7B2C2C"/>
          <w:sz w:val="19"/>
          <w:szCs w:val="19"/>
        </w:rPr>
        <w:t xml:space="preserve">dw</w:t>
      </w:r>
      <w:r>
        <w:t xml:space="preserve"> schema in </w:t>
      </w:r>
      <w:r>
        <w:rPr>
          <w:rFonts w:ascii="Consolas" w:cs="Consolas" w:eastAsia="Consolas" w:hAnsi="Consolas"/>
          <w:color w:val="7B2C2C"/>
          <w:sz w:val="19"/>
          <w:szCs w:val="19"/>
        </w:rPr>
        <w:t xml:space="preserve">OlistDB</w:t>
      </w:r>
      <w:r>
        <w:t xml:space="preserve"> must contain the 7 tables built in Part 1 (5 dimensions and 2 fact tables) and they must have passed their checks.</w:t>
      </w:r>
    </w:p>
    <w:p>
      <w:pPr>
        <w:pStyle w:val="Heading3"/>
      </w:pPr>
      <w:r>
        <w:t xml:space="preserve">The story in four lines</w:t>
      </w:r>
    </w:p>
    <w:p>
      <w:pPr>
        <w:pStyle w:val="ListParagraph"/>
        <w:numPr>
          <w:ilvl w:val="0"/>
          <w:numId w:val="2"/>
        </w:numPr>
        <w:spacing w:after="60"/>
      </w:pPr>
      <w:r>
        <w:t xml:space="preserve">Olist grew fast in 2017, then flattened.</w:t>
      </w:r>
    </w:p>
    <w:p>
      <w:pPr>
        <w:pStyle w:val="ListParagraph"/>
        <w:numPr>
          <w:ilvl w:val="0"/>
          <w:numId w:val="2"/>
        </w:numPr>
        <w:spacing w:after="60"/>
      </w:pPr>
      <w:r>
        <w:t xml:space="preserve">Late deliveries are rare (about 7%), but they badly hurt reviews.</w:t>
      </w:r>
    </w:p>
    <w:p>
      <w:pPr>
        <w:pStyle w:val="ListParagraph"/>
        <w:numPr>
          <w:ilvl w:val="0"/>
          <w:numId w:val="2"/>
        </w:numPr>
        <w:spacing w:after="60"/>
      </w:pPr>
      <w:r>
        <w:t xml:space="preserve">Late delivery is </w:t>
      </w:r>
      <w:r>
        <w:rPr>
          <w:b/>
          <w:bCs/>
        </w:rPr>
        <w:t xml:space="preserve">not</w:t>
      </w:r>
      <w:r>
        <w:t xml:space="preserve"> the main reason customers fail to return; very few reorder either way.</w:t>
      </w:r>
    </w:p>
    <w:p>
      <w:pPr>
        <w:pStyle w:val="ListParagraph"/>
        <w:numPr>
          <w:ilvl w:val="0"/>
          <w:numId w:val="2"/>
        </w:numPr>
        <w:spacing w:after="60"/>
      </w:pPr>
      <w:r>
        <w:t xml:space="preserve">So the business problem is </w:t>
      </w:r>
      <w:r>
        <w:rPr>
          <w:b/>
          <w:bCs/>
        </w:rPr>
        <w:t xml:space="preserve">retention</w:t>
      </w:r>
      <w:r>
        <w:t xml:space="preserve">, not delivery.</w:t>
      </w:r>
    </w:p>
    <w:p>
      <w:pPr>
        <w:pStyle w:val="Heading1"/>
      </w:pPr>
      <w:r>
        <w:t xml:space="preserve">2. Procedure</w:t>
      </w:r>
    </w:p>
    <w:p>
      <w:pPr>
        <w:pStyle w:val="Heading2"/>
      </w:pPr>
      <w:r>
        <w:t xml:space="preserve">Step 1: Connect Power BI to the warehouse</w:t>
      </w:r>
    </w:p>
    <w:p>
      <w:pPr>
        <w:spacing w:after="120"/>
      </w:pPr>
      <w:r>
        <w:rPr>
          <w:b/>
          <w:bCs/>
        </w:rPr>
        <w:t xml:space="preserve">Purpose:</w:t>
      </w:r>
      <w:r>
        <w:t xml:space="preserve"> bring the clean tables into Power BI.</w:t>
      </w:r>
    </w:p>
    <w:p>
      <w:pPr>
        <w:pStyle w:val="ListParagraph"/>
        <w:numPr>
          <w:ilvl w:val="0"/>
          <w:numId w:val="3"/>
        </w:numPr>
        <w:spacing w:after="60"/>
      </w:pPr>
      <w:r>
        <w:t xml:space="preserve">In SSMS, run </w:t>
      </w:r>
      <w:r>
        <w:rPr>
          <w:rFonts w:ascii="Consolas" w:cs="Consolas" w:eastAsia="Consolas" w:hAnsi="Consolas"/>
          <w:color w:val="7B2C2C"/>
          <w:sz w:val="19"/>
          <w:szCs w:val="19"/>
        </w:rPr>
        <w:t xml:space="preserve">SELECT @@SERVERNAME;</w:t>
      </w:r>
      <w:r>
        <w:t xml:space="preserve"> and copy the result. This is your server name.</w:t>
      </w:r>
    </w:p>
    <w:p>
      <w:pPr>
        <w:pStyle w:val="ListParagraph"/>
        <w:numPr>
          <w:ilvl w:val="0"/>
          <w:numId w:val="3"/>
        </w:numPr>
        <w:spacing w:after="60"/>
      </w:pPr>
      <w:r>
        <w:t xml:space="preserve">Power BI: </w:t>
      </w:r>
      <w:r>
        <w:rPr>
          <w:b/>
          <w:bCs/>
        </w:rPr>
        <w:t xml:space="preserve">Home &gt; Get data &gt; SQL Server</w:t>
      </w:r>
      <w:r>
        <w:t xml:space="preserve">. Server: the name you copied. Database: </w:t>
      </w:r>
      <w:r>
        <w:rPr>
          <w:rFonts w:ascii="Consolas" w:cs="Consolas" w:eastAsia="Consolas" w:hAnsi="Consolas"/>
          <w:color w:val="7B2C2C"/>
          <w:sz w:val="19"/>
          <w:szCs w:val="19"/>
        </w:rPr>
        <w:t xml:space="preserve">OlistDB</w:t>
      </w:r>
      <w:r>
        <w:t xml:space="preserve">. Mode: </w:t>
      </w:r>
      <w:r>
        <w:rPr>
          <w:b/>
          <w:bCs/>
        </w:rPr>
        <w:t xml:space="preserve">Import</w:t>
      </w:r>
      <w:r>
        <w:t xml:space="preserve">.</w:t>
      </w:r>
    </w:p>
    <w:p>
      <w:pPr>
        <w:pStyle w:val="ListParagraph"/>
        <w:numPr>
          <w:ilvl w:val="0"/>
          <w:numId w:val="3"/>
        </w:numPr>
        <w:spacing w:after="60"/>
      </w:pPr>
      <w:r>
        <w:t xml:space="preserve">Sign in with </w:t>
      </w:r>
      <w:r>
        <w:rPr>
          <w:b/>
          <w:bCs/>
        </w:rPr>
        <w:t xml:space="preserve">Windows</w:t>
      </w:r>
      <w:r>
        <w:t xml:space="preserve"> credentials. If it complains about encryption on a local database, continue without it.</w:t>
      </w:r>
    </w:p>
    <w:p>
      <w:pPr>
        <w:pStyle w:val="ListParagraph"/>
        <w:numPr>
          <w:ilvl w:val="0"/>
          <w:numId w:val="3"/>
        </w:numPr>
        <w:spacing w:after="60"/>
      </w:pPr>
      <w:r>
        <w:t xml:space="preserve">In the Navigator, tick only the 7 </w:t>
      </w:r>
      <w:r>
        <w:rPr>
          <w:rFonts w:ascii="Consolas" w:cs="Consolas" w:eastAsia="Consolas" w:hAnsi="Consolas"/>
          <w:color w:val="7B2C2C"/>
          <w:sz w:val="19"/>
          <w:szCs w:val="19"/>
        </w:rPr>
        <w:t xml:space="preserve">dw</w:t>
      </w:r>
      <w:r>
        <w:t xml:space="preserve"> tables. Do not load anything from </w:t>
      </w:r>
      <w:r>
        <w:rPr>
          <w:rFonts w:ascii="Consolas" w:cs="Consolas" w:eastAsia="Consolas" w:hAnsi="Consolas"/>
          <w:color w:val="7B2C2C"/>
          <w:sz w:val="19"/>
          <w:szCs w:val="19"/>
        </w:rPr>
        <w:t xml:space="preserve">stg</w:t>
      </w:r>
      <w:r>
        <w:t xml:space="preserve">. Click </w:t>
      </w:r>
      <w:r>
        <w:rPr>
          <w:b/>
          <w:bCs/>
        </w:rPr>
        <w:t xml:space="preserve">Load</w:t>
      </w:r>
      <w:r>
        <w:t xml:space="preserve">.</w:t>
      </w:r>
    </w:p>
    <w:p>
      <w:pPr>
        <w:pBdr>
          <w:left w:val="single" w:color="38A9E8" w:sz="18" w:space="8"/>
        </w:pBdr>
        <w:shd w:fill="E8F1FB" w:color="auto" w:val="clear"/>
        <w:spacing w:after="160" w:before="80"/>
        <w:ind w:left="200" w:right="100"/>
      </w:pPr>
      <w:r>
        <w:rPr>
          <w:b/>
          <w:bCs/>
        </w:rPr>
        <w:t xml:space="preserve">Check:</w:t>
      </w:r>
      <w:r>
        <w:t xml:space="preserve"> 7 tables appear in the Data pane. Power BI shows them with the schema prefix, for example </w:t>
      </w:r>
      <w:r>
        <w:rPr>
          <w:rFonts w:ascii="Consolas" w:cs="Consolas" w:eastAsia="Consolas" w:hAnsi="Consolas"/>
          <w:color w:val="7B2C2C"/>
          <w:sz w:val="19"/>
          <w:szCs w:val="19"/>
        </w:rPr>
        <w:t xml:space="preserve">dw fact_orders</w:t>
      </w:r>
      <w:r>
        <w:t xml:space="preserve">. Use these exact names in DAX.</w:t>
      </w:r>
    </w:p>
    <w:p>
      <w:pPr>
        <w:pStyle w:val="Heading2"/>
      </w:pPr>
      <w:r>
        <w:t xml:space="preserve">Step 2: Prepare the date table</w:t>
      </w:r>
    </w:p>
    <w:p>
      <w:pPr>
        <w:spacing w:after="120"/>
      </w:pPr>
      <w:r>
        <w:rPr>
          <w:b/>
          <w:bCs/>
        </w:rPr>
        <w:t xml:space="preserve">Purpose:</w:t>
      </w:r>
      <w:r>
        <w:t xml:space="preserve"> time-based measures (last month, last year) need a clean, unbroken date table.</w:t>
      </w:r>
    </w:p>
    <w:p>
      <w:pPr>
        <w:pStyle w:val="ListParagraph"/>
        <w:numPr>
          <w:ilvl w:val="0"/>
          <w:numId w:val="4"/>
        </w:numPr>
        <w:spacing w:after="60"/>
      </w:pPr>
      <w:r>
        <w:t xml:space="preserve">In </w:t>
      </w:r>
      <w:r>
        <w:rPr>
          <w:b/>
          <w:bCs/>
        </w:rPr>
        <w:t xml:space="preserve">Transform data</w:t>
      </w:r>
      <w:r>
        <w:t xml:space="preserve">, open </w:t>
      </w:r>
      <w:r>
        <w:rPr>
          <w:rFonts w:ascii="Consolas" w:cs="Consolas" w:eastAsia="Consolas" w:hAnsi="Consolas"/>
          <w:color w:val="7B2C2C"/>
          <w:sz w:val="19"/>
          <w:szCs w:val="19"/>
        </w:rPr>
        <w:t xml:space="preserve">dw dim_date</w:t>
      </w:r>
      <w:r>
        <w:t xml:space="preserve"> and filter </w:t>
      </w:r>
      <w:r>
        <w:rPr>
          <w:rFonts w:ascii="Consolas" w:cs="Consolas" w:eastAsia="Consolas" w:hAnsi="Consolas"/>
          <w:color w:val="7B2C2C"/>
          <w:sz w:val="19"/>
          <w:szCs w:val="19"/>
        </w:rPr>
        <w:t xml:space="preserve">date_key</w:t>
      </w:r>
      <w:r>
        <w:t xml:space="preserve"> to exclude </w:t>
      </w:r>
      <w:r>
        <w:rPr>
          <w:rFonts w:ascii="Consolas" w:cs="Consolas" w:eastAsia="Consolas" w:hAnsi="Consolas"/>
          <w:color w:val="7B2C2C"/>
          <w:sz w:val="19"/>
          <w:szCs w:val="19"/>
        </w:rPr>
        <w:t xml:space="preserve">-1</w:t>
      </w:r>
      <w:r>
        <w:t xml:space="preserve"> (the Unknown placeholder row). Close and Apply.</w:t>
      </w:r>
    </w:p>
    <w:p>
      <w:pPr>
        <w:pStyle w:val="ListParagraph"/>
        <w:numPr>
          <w:ilvl w:val="0"/>
          <w:numId w:val="4"/>
        </w:numPr>
        <w:spacing w:after="60"/>
      </w:pPr>
      <w:r>
        <w:t xml:space="preserve">Select </w:t>
      </w:r>
      <w:r>
        <w:rPr>
          <w:rFonts w:ascii="Consolas" w:cs="Consolas" w:eastAsia="Consolas" w:hAnsi="Consolas"/>
          <w:color w:val="7B2C2C"/>
          <w:sz w:val="19"/>
          <w:szCs w:val="19"/>
        </w:rPr>
        <w:t xml:space="preserve">dw dim_date</w:t>
      </w:r>
      <w:r>
        <w:t xml:space="preserve">, then </w:t>
      </w:r>
      <w:r>
        <w:rPr>
          <w:b/>
          <w:bCs/>
        </w:rPr>
        <w:t xml:space="preserve">Table tools &gt; Mark as date table</w:t>
      </w:r>
      <w:r>
        <w:t xml:space="preserve">, and choose </w:t>
      </w:r>
      <w:r>
        <w:rPr>
          <w:rFonts w:ascii="Consolas" w:cs="Consolas" w:eastAsia="Consolas" w:hAnsi="Consolas"/>
          <w:color w:val="7B2C2C"/>
          <w:sz w:val="19"/>
          <w:szCs w:val="19"/>
        </w:rPr>
        <w:t xml:space="preserve">full_date</w:t>
      </w:r>
      <w:r>
        <w:t xml:space="preserve">.</w:t>
      </w:r>
    </w:p>
    <w:p>
      <w:pPr>
        <w:pBdr>
          <w:left w:val="single" w:color="38A9E8" w:sz="18" w:space="8"/>
        </w:pBdr>
        <w:shd w:fill="E8F1FB" w:color="auto" w:val="clear"/>
        <w:spacing w:after="160" w:before="80"/>
        <w:ind w:left="200" w:right="100"/>
      </w:pPr>
      <w:r>
        <w:rPr>
          <w:b/>
          <w:bCs/>
        </w:rPr>
        <w:t xml:space="preserve">Note:</w:t>
      </w:r>
      <w:r>
        <w:t xml:space="preserve"> undelivered orders point at the </w:t>
      </w:r>
      <w:r>
        <w:rPr>
          <w:rFonts w:ascii="Consolas" w:cs="Consolas" w:eastAsia="Consolas" w:hAnsi="Consolas"/>
          <w:color w:val="7B2C2C"/>
          <w:sz w:val="19"/>
          <w:szCs w:val="19"/>
        </w:rPr>
        <w:t xml:space="preserve">-1</w:t>
      </w:r>
      <w:r>
        <w:t xml:space="preserve"> date key, so they show as blank in date charts. That is expected and honest.</w:t>
      </w:r>
    </w:p>
    <w:p>
      <w:pPr>
        <w:pStyle w:val="Heading2"/>
      </w:pPr>
      <w:r>
        <w:t xml:space="preserve">Step 3: Build the model</w:t>
      </w:r>
    </w:p>
    <w:p>
      <w:pPr>
        <w:spacing w:after="120"/>
      </w:pPr>
      <w:r>
        <w:rPr>
          <w:b/>
          <w:bCs/>
        </w:rPr>
        <w:t xml:space="preserve">Purpose:</w:t>
      </w:r>
      <w:r>
        <w:t xml:space="preserve"> connect the facts to the dimensions so filters flow correctly.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2891"/>
        <w:gridCol w:w="2409"/>
        <w:gridCol w:w="1688"/>
      </w:tblGrid>
      <w:tr>
        <w:trPr>
          <w:cantSplit/>
          <w:tblHeader/>
        </w:trPr>
        <w:tc>
          <w:tcPr>
            <w:tcW w:type="dxa" w:w="2650"/>
            <w:tcBorders>
              <w:top w:val="single" w:color="BFBFBF" w:sz="4"/>
              <w:left w:val="single" w:color="BFBFBF" w:sz="4"/>
              <w:bottom w:val="single" w:color="BFBFBF" w:sz="4"/>
              <w:right w:val="single" w:color="BFBFBF" w:sz="4"/>
            </w:tcBorders>
            <w:shd w:fill="112145" w:color="auto" w:val="clear"/>
            <w:tcMar>
              <w:top w:type="dxa" w:w="60"/>
              <w:left w:type="dxa" w:w="100"/>
              <w:bottom w:type="dxa" w:w="60"/>
              <w:right w:type="dxa" w:w="100"/>
            </w:tcMar>
          </w:tcPr>
          <w:p>
            <w:pPr>
              <w:spacing w:after="0"/>
            </w:pPr>
            <w:r>
              <w:rPr>
                <w:b/>
                <w:bCs/>
                <w:color w:val="FFFFFF"/>
                <w:sz w:val="19"/>
                <w:szCs w:val="19"/>
              </w:rPr>
              <w:t xml:space="preserve">Dimension (one side)</w:t>
            </w:r>
          </w:p>
        </w:tc>
        <w:tc>
          <w:tcPr>
            <w:tcW w:type="dxa" w:w="2891"/>
            <w:tcBorders>
              <w:top w:val="single" w:color="BFBFBF" w:sz="4"/>
              <w:left w:val="single" w:color="BFBFBF" w:sz="4"/>
              <w:bottom w:val="single" w:color="BFBFBF" w:sz="4"/>
              <w:right w:val="single" w:color="BFBFBF" w:sz="4"/>
            </w:tcBorders>
            <w:shd w:fill="112145" w:color="auto" w:val="clear"/>
            <w:tcMar>
              <w:top w:type="dxa" w:w="60"/>
              <w:left w:type="dxa" w:w="100"/>
              <w:bottom w:type="dxa" w:w="60"/>
              <w:right w:type="dxa" w:w="100"/>
            </w:tcMar>
          </w:tcPr>
          <w:p>
            <w:pPr>
              <w:spacing w:after="0"/>
            </w:pPr>
            <w:r>
              <w:rPr>
                <w:b/>
                <w:bCs/>
                <w:color w:val="FFFFFF"/>
                <w:sz w:val="19"/>
                <w:szCs w:val="19"/>
              </w:rPr>
              <w:t xml:space="preserve">Fact table (many side)</w:t>
            </w:r>
          </w:p>
        </w:tc>
        <w:tc>
          <w:tcPr>
            <w:tcW w:type="dxa" w:w="2409"/>
            <w:tcBorders>
              <w:top w:val="single" w:color="BFBFBF" w:sz="4"/>
              <w:left w:val="single" w:color="BFBFBF" w:sz="4"/>
              <w:bottom w:val="single" w:color="BFBFBF" w:sz="4"/>
              <w:right w:val="single" w:color="BFBFBF" w:sz="4"/>
            </w:tcBorders>
            <w:shd w:fill="112145" w:color="auto" w:val="clear"/>
            <w:tcMar>
              <w:top w:type="dxa" w:w="60"/>
              <w:left w:type="dxa" w:w="100"/>
              <w:bottom w:type="dxa" w:w="60"/>
              <w:right w:type="dxa" w:w="100"/>
            </w:tcMar>
          </w:tcPr>
          <w:p>
            <w:pPr>
              <w:spacing w:after="0"/>
            </w:pPr>
            <w:r>
              <w:rPr>
                <w:b/>
                <w:bCs/>
                <w:color w:val="FFFFFF"/>
                <w:sz w:val="19"/>
                <w:szCs w:val="19"/>
              </w:rPr>
              <w:t xml:space="preserve">Key column</w:t>
            </w:r>
          </w:p>
        </w:tc>
        <w:tc>
          <w:tcPr>
            <w:tcW w:type="dxa" w:w="1688"/>
            <w:tcBorders>
              <w:top w:val="single" w:color="BFBFBF" w:sz="4"/>
              <w:left w:val="single" w:color="BFBFBF" w:sz="4"/>
              <w:bottom w:val="single" w:color="BFBFBF" w:sz="4"/>
              <w:right w:val="single" w:color="BFBFBF" w:sz="4"/>
            </w:tcBorders>
            <w:shd w:fill="112145" w:color="auto" w:val="clear"/>
            <w:tcMar>
              <w:top w:type="dxa" w:w="60"/>
              <w:left w:type="dxa" w:w="100"/>
              <w:bottom w:type="dxa" w:w="60"/>
              <w:right w:type="dxa" w:w="100"/>
            </w:tcMar>
          </w:tcPr>
          <w:p>
            <w:pPr>
              <w:spacing w:after="0"/>
            </w:pPr>
            <w:r>
              <w:rPr>
                <w:b/>
                <w:bCs/>
                <w:color w:val="FFFFFF"/>
                <w:sz w:val="19"/>
                <w:szCs w:val="19"/>
              </w:rPr>
              <w:t xml:space="preserve">State</w:t>
            </w:r>
          </w:p>
        </w:tc>
      </w:tr>
      <w:tr>
        <w:trPr>
          <w:cantSplit/>
        </w:trPr>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dw dim_date </w:t>
            </w:r>
            <w:r>
              <w:rPr>
                <w:rFonts w:ascii="Consolas" w:cs="Consolas" w:eastAsia="Consolas" w:hAnsi="Consolas"/>
                <w:color w:val="7B2C2C"/>
                <w:sz w:val="17"/>
                <w:szCs w:val="17"/>
              </w:rPr>
              <w:t xml:space="preserve">date_key</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fact_orders</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B2C2C"/>
                <w:sz w:val="17"/>
                <w:szCs w:val="17"/>
              </w:rPr>
              <w:t xml:space="preserve">purchase_date_key</w:t>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Active</w:t>
            </w:r>
          </w:p>
        </w:tc>
      </w:tr>
      <w:tr>
        <w:trPr>
          <w:cantSplit/>
        </w:trPr>
        <w:tc>
          <w:tcPr>
            <w:tcW w:type="dxa" w:w="2650"/>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dw dim_date </w:t>
            </w:r>
            <w:r>
              <w:rPr>
                <w:rFonts w:ascii="Consolas" w:cs="Consolas" w:eastAsia="Consolas" w:hAnsi="Consolas"/>
                <w:color w:val="7B2C2C"/>
                <w:sz w:val="17"/>
                <w:szCs w:val="17"/>
              </w:rPr>
              <w:t xml:space="preserve">date_key</w:t>
            </w:r>
          </w:p>
        </w:tc>
        <w:tc>
          <w:tcPr>
            <w:tcW w:type="dxa" w:w="2891"/>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fact_orders</w:t>
            </w:r>
          </w:p>
        </w:tc>
        <w:tc>
          <w:tcPr>
            <w:tcW w:type="dxa" w:w="2409"/>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rFonts w:ascii="Consolas" w:cs="Consolas" w:eastAsia="Consolas" w:hAnsi="Consolas"/>
                <w:color w:val="7B2C2C"/>
                <w:sz w:val="17"/>
                <w:szCs w:val="17"/>
              </w:rPr>
              <w:t xml:space="preserve">delivered_date_key</w:t>
            </w:r>
          </w:p>
        </w:tc>
        <w:tc>
          <w:tcPr>
            <w:tcW w:type="dxa" w:w="1688"/>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Inactive</w:t>
            </w:r>
          </w:p>
        </w:tc>
      </w:tr>
      <w:tr>
        <w:trPr>
          <w:cantSplit/>
        </w:trPr>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dw dim_date </w:t>
            </w:r>
            <w:r>
              <w:rPr>
                <w:rFonts w:ascii="Consolas" w:cs="Consolas" w:eastAsia="Consolas" w:hAnsi="Consolas"/>
                <w:color w:val="7B2C2C"/>
                <w:sz w:val="17"/>
                <w:szCs w:val="17"/>
              </w:rPr>
              <w:t xml:space="preserve">date_key</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fact_orders</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B2C2C"/>
                <w:sz w:val="17"/>
                <w:szCs w:val="17"/>
              </w:rPr>
              <w:t xml:space="preserve">estimated_date_key</w:t>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Inactive</w:t>
            </w:r>
          </w:p>
        </w:tc>
      </w:tr>
      <w:tr>
        <w:trPr>
          <w:cantSplit/>
        </w:trPr>
        <w:tc>
          <w:tcPr>
            <w:tcW w:type="dxa" w:w="2650"/>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dw dim_date </w:t>
            </w:r>
            <w:r>
              <w:rPr>
                <w:rFonts w:ascii="Consolas" w:cs="Consolas" w:eastAsia="Consolas" w:hAnsi="Consolas"/>
                <w:color w:val="7B2C2C"/>
                <w:sz w:val="17"/>
                <w:szCs w:val="17"/>
              </w:rPr>
              <w:t xml:space="preserve">date_key</w:t>
            </w:r>
          </w:p>
        </w:tc>
        <w:tc>
          <w:tcPr>
            <w:tcW w:type="dxa" w:w="2891"/>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fact_order_items</w:t>
            </w:r>
          </w:p>
        </w:tc>
        <w:tc>
          <w:tcPr>
            <w:tcW w:type="dxa" w:w="2409"/>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rFonts w:ascii="Consolas" w:cs="Consolas" w:eastAsia="Consolas" w:hAnsi="Consolas"/>
                <w:color w:val="7B2C2C"/>
                <w:sz w:val="17"/>
                <w:szCs w:val="17"/>
              </w:rPr>
              <w:t xml:space="preserve">purchase_date_key</w:t>
            </w:r>
          </w:p>
        </w:tc>
        <w:tc>
          <w:tcPr>
            <w:tcW w:type="dxa" w:w="1688"/>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Active</w:t>
            </w:r>
          </w:p>
        </w:tc>
      </w:tr>
      <w:tr>
        <w:trPr>
          <w:cantSplit/>
        </w:trPr>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dw dim_customer</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fact_orders and fact_order_items</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B2C2C"/>
                <w:sz w:val="17"/>
                <w:szCs w:val="17"/>
              </w:rPr>
              <w:t xml:space="preserve">customer_key</w:t>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Active (2 relationships)</w:t>
            </w:r>
          </w:p>
        </w:tc>
      </w:tr>
      <w:tr>
        <w:trPr>
          <w:cantSplit/>
        </w:trPr>
        <w:tc>
          <w:tcPr>
            <w:tcW w:type="dxa" w:w="2650"/>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dw dim_product</w:t>
            </w:r>
          </w:p>
        </w:tc>
        <w:tc>
          <w:tcPr>
            <w:tcW w:type="dxa" w:w="2891"/>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fact_order_items</w:t>
            </w:r>
          </w:p>
        </w:tc>
        <w:tc>
          <w:tcPr>
            <w:tcW w:type="dxa" w:w="2409"/>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rFonts w:ascii="Consolas" w:cs="Consolas" w:eastAsia="Consolas" w:hAnsi="Consolas"/>
                <w:color w:val="7B2C2C"/>
                <w:sz w:val="17"/>
                <w:szCs w:val="17"/>
              </w:rPr>
              <w:t xml:space="preserve">product_key</w:t>
            </w:r>
          </w:p>
        </w:tc>
        <w:tc>
          <w:tcPr>
            <w:tcW w:type="dxa" w:w="1688"/>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Active</w:t>
            </w:r>
          </w:p>
        </w:tc>
      </w:tr>
      <w:tr>
        <w:trPr>
          <w:cantSplit/>
        </w:trPr>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dw dim_seller</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fact_order_items</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B2C2C"/>
                <w:sz w:val="17"/>
                <w:szCs w:val="17"/>
              </w:rPr>
              <w:t xml:space="preserve">seller_key</w:t>
            </w:r>
          </w:p>
        </w:tc>
        <w:tc>
          <w:tcPr>
            <w:tcW w:type="dxa" w:w="1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Active</w:t>
            </w:r>
          </w:p>
        </w:tc>
      </w:tr>
      <w:tr>
        <w:trPr>
          <w:cantSplit/>
        </w:trPr>
        <w:tc>
          <w:tcPr>
            <w:tcW w:type="dxa" w:w="2650"/>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dw dim_payment_type</w:t>
            </w:r>
          </w:p>
        </w:tc>
        <w:tc>
          <w:tcPr>
            <w:tcW w:type="dxa" w:w="2891"/>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fact_orders</w:t>
            </w:r>
          </w:p>
        </w:tc>
        <w:tc>
          <w:tcPr>
            <w:tcW w:type="dxa" w:w="2409"/>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rFonts w:ascii="Consolas" w:cs="Consolas" w:eastAsia="Consolas" w:hAnsi="Consolas"/>
                <w:color w:val="7B2C2C"/>
                <w:sz w:val="17"/>
                <w:szCs w:val="17"/>
              </w:rPr>
              <w:t xml:space="preserve">payment_type_key</w:t>
            </w:r>
          </w:p>
        </w:tc>
        <w:tc>
          <w:tcPr>
            <w:tcW w:type="dxa" w:w="1688"/>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Active</w:t>
            </w:r>
          </w:p>
        </w:tc>
      </w:tr>
    </w:tbl>
    <w:p>
      <w:pPr>
        <w:spacing w:after="80"/>
      </w:pPr>
      <w:r>
        <w:t xml:space="preserve"/>
      </w:r>
    </w:p>
    <w:p>
      <w:pPr>
        <w:pStyle w:val="ListParagraph"/>
        <w:numPr>
          <w:ilvl w:val="0"/>
          <w:numId w:val="2"/>
        </w:numPr>
        <w:spacing w:after="60"/>
      </w:pPr>
      <w:r>
        <w:t xml:space="preserve">All relationships are </w:t>
      </w:r>
      <w:r>
        <w:rPr>
          <w:b/>
          <w:bCs/>
        </w:rPr>
        <w:t xml:space="preserve">one-to-many</w:t>
      </w:r>
      <w:r>
        <w:t xml:space="preserve">, </w:t>
      </w:r>
      <w:r>
        <w:rPr>
          <w:b/>
          <w:bCs/>
        </w:rPr>
        <w:t xml:space="preserve">single direction</w:t>
      </w:r>
      <w:r>
        <w:t xml:space="preserve">, from dimension to fact.</w:t>
      </w:r>
    </w:p>
    <w:p>
      <w:pPr>
        <w:pStyle w:val="ListParagraph"/>
        <w:numPr>
          <w:ilvl w:val="0"/>
          <w:numId w:val="2"/>
        </w:numPr>
        <w:spacing w:after="60"/>
      </w:pPr>
      <w:r>
        <w:t xml:space="preserve">Column names differ between tables (</w:t>
      </w:r>
      <w:r>
        <w:rPr>
          <w:rFonts w:ascii="Consolas" w:cs="Consolas" w:eastAsia="Consolas" w:hAnsi="Consolas"/>
          <w:color w:val="7B2C2C"/>
          <w:sz w:val="19"/>
          <w:szCs w:val="19"/>
        </w:rPr>
        <w:t xml:space="preserve">date_key</w:t>
      </w:r>
      <w:r>
        <w:t xml:space="preserve"> vs </w:t>
      </w:r>
      <w:r>
        <w:rPr>
          <w:rFonts w:ascii="Consolas" w:cs="Consolas" w:eastAsia="Consolas" w:hAnsi="Consolas"/>
          <w:color w:val="7B2C2C"/>
          <w:sz w:val="19"/>
          <w:szCs w:val="19"/>
        </w:rPr>
        <w:t xml:space="preserve">purchase_date_key</w:t>
      </w:r>
      <w:r>
        <w:t xml:space="preserve">). That is fine: pick one column on each side.</w:t>
      </w:r>
    </w:p>
    <w:p>
      <w:pPr>
        <w:pStyle w:val="ListParagraph"/>
        <w:numPr>
          <w:ilvl w:val="0"/>
          <w:numId w:val="2"/>
        </w:numPr>
        <w:spacing w:after="60"/>
      </w:pPr>
      <w:r>
        <w:t xml:space="preserve">Power BI may auto-create some relationships. Review each one, keep the correct ones, and </w:t>
      </w:r>
      <w:r>
        <w:rPr>
          <w:b/>
          <w:bCs/>
        </w:rPr>
        <w:t xml:space="preserve">delete any link between the two fact tables</w:t>
      </w:r>
      <w:r>
        <w:t xml:space="preserve">. They connect only through the shared dimensions, which prevents double counting.</w:t>
      </w:r>
    </w:p>
    <w:p>
      <w:pPr>
        <w:pBdr>
          <w:left w:val="single" w:color="38A9E8" w:sz="18" w:space="8"/>
        </w:pBdr>
        <w:shd w:fill="E8F1FB" w:color="auto" w:val="clear"/>
        <w:spacing w:after="160" w:before="80"/>
        <w:ind w:left="200" w:right="100"/>
      </w:pPr>
      <w:r>
        <w:rPr>
          <w:b/>
          <w:bCs/>
        </w:rPr>
        <w:t xml:space="preserve">Check:</w:t>
      </w:r>
      <w:r>
        <w:t xml:space="preserve"> 9 relationships in total.</w:t>
      </w:r>
    </w:p>
    <w:p>
      <w:pPr>
        <w:pStyle w:val="Heading2"/>
      </w:pPr>
      <w:r>
        <w:t xml:space="preserve">Step 4: Create the measures table</w:t>
      </w:r>
    </w:p>
    <w:p>
      <w:pPr>
        <w:pStyle w:val="ListParagraph"/>
        <w:numPr>
          <w:ilvl w:val="0"/>
          <w:numId w:val="5"/>
        </w:numPr>
        <w:spacing w:after="60"/>
      </w:pPr>
      <w:r>
        <w:rPr>
          <w:b/>
          <w:bCs/>
        </w:rPr>
        <w:t xml:space="preserve">Home &gt; Enter data</w:t>
      </w:r>
      <w:r>
        <w:t xml:space="preserve">, leave the grid blank, name the table </w:t>
      </w:r>
      <w:r>
        <w:rPr>
          <w:rFonts w:ascii="Consolas" w:cs="Consolas" w:eastAsia="Consolas" w:hAnsi="Consolas"/>
          <w:color w:val="7B2C2C"/>
          <w:sz w:val="19"/>
          <w:szCs w:val="19"/>
        </w:rPr>
        <w:t xml:space="preserve">_Measures</w:t>
      </w:r>
      <w:r>
        <w:t xml:space="preserve">, and Load.</w:t>
      </w:r>
    </w:p>
    <w:p>
      <w:pPr>
        <w:pStyle w:val="ListParagraph"/>
        <w:numPr>
          <w:ilvl w:val="0"/>
          <w:numId w:val="5"/>
        </w:numPr>
        <w:spacing w:after="60"/>
      </w:pPr>
      <w:r>
        <w:t xml:space="preserve">Right-click </w:t>
      </w:r>
      <w:r>
        <w:rPr>
          <w:rFonts w:ascii="Consolas" w:cs="Consolas" w:eastAsia="Consolas" w:hAnsi="Consolas"/>
          <w:color w:val="7B2C2C"/>
          <w:sz w:val="19"/>
          <w:szCs w:val="19"/>
        </w:rPr>
        <w:t xml:space="preserve">_Measures</w:t>
      </w:r>
      <w:r>
        <w:t xml:space="preserve"> &gt; </w:t>
      </w:r>
      <w:r>
        <w:rPr>
          <w:b/>
          <w:bCs/>
        </w:rPr>
        <w:t xml:space="preserve">New measure</w:t>
      </w:r>
      <w:r>
        <w:t xml:space="preserve"> for each measure in Section 3.</w:t>
      </w:r>
    </w:p>
    <w:p>
      <w:pPr>
        <w:pStyle w:val="ListParagraph"/>
        <w:numPr>
          <w:ilvl w:val="0"/>
          <w:numId w:val="5"/>
        </w:numPr>
        <w:spacing w:after="60"/>
      </w:pPr>
      <w:r>
        <w:t xml:space="preserve">Hide the empty placeholder column once the first measure exists.</w:t>
      </w:r>
    </w:p>
    <w:p>
      <w:pPr>
        <w:spacing w:after="120"/>
      </w:pPr>
      <w:r>
        <w:t xml:space="preserve">A single measures table keeps the Fields pane tidy. A measure can live in any table, because its formula names its own columns.</w:t>
      </w:r>
    </w:p>
    <w:p>
      <w:pPr>
        <w:pStyle w:val="Heading2"/>
      </w:pPr>
      <w:r>
        <w:t xml:space="preserve">Step 5: Write the measures</w:t>
      </w:r>
    </w:p>
    <w:p>
      <w:pPr>
        <w:spacing w:after="120"/>
      </w:pPr>
      <w:r>
        <w:t xml:space="preserve">Full formulas are in Section 3. The method for each one:</w:t>
      </w:r>
    </w:p>
    <w:p>
      <w:pPr>
        <w:pStyle w:val="ListParagraph"/>
        <w:numPr>
          <w:ilvl w:val="0"/>
          <w:numId w:val="6"/>
        </w:numPr>
        <w:spacing w:after="60"/>
      </w:pPr>
      <w:r>
        <w:t xml:space="preserve">Say it in plain English first, for example "add up the price, but only for delivered orders".</w:t>
      </w:r>
    </w:p>
    <w:p>
      <w:pPr>
        <w:pStyle w:val="ListParagraph"/>
        <w:numPr>
          <w:ilvl w:val="0"/>
          <w:numId w:val="6"/>
        </w:numPr>
        <w:spacing w:after="60"/>
      </w:pPr>
      <w:r>
        <w:t xml:space="preserve">Translate it piece by piece: "add up the price" becomes </w:t>
      </w:r>
      <w:r>
        <w:rPr>
          <w:rFonts w:ascii="Consolas" w:cs="Consolas" w:eastAsia="Consolas" w:hAnsi="Consolas"/>
          <w:color w:val="7B2C2C"/>
          <w:sz w:val="19"/>
          <w:szCs w:val="19"/>
        </w:rPr>
        <w:t xml:space="preserve">SUM(...)</w:t>
      </w:r>
      <w:r>
        <w:t xml:space="preserve">, and "only for delivered" becomes a filter inside </w:t>
      </w:r>
      <w:r>
        <w:rPr>
          <w:rFonts w:ascii="Consolas" w:cs="Consolas" w:eastAsia="Consolas" w:hAnsi="Consolas"/>
          <w:color w:val="7B2C2C"/>
          <w:sz w:val="19"/>
          <w:szCs w:val="19"/>
        </w:rPr>
        <w:t xml:space="preserve">CALCULATE</w:t>
      </w:r>
      <w:r>
        <w:t xml:space="preserve">.</w:t>
      </w:r>
    </w:p>
    <w:p>
      <w:pPr>
        <w:pStyle w:val="ListParagraph"/>
        <w:numPr>
          <w:ilvl w:val="0"/>
          <w:numId w:val="6"/>
        </w:numPr>
        <w:spacing w:after="60"/>
      </w:pPr>
      <w:r>
        <w:t xml:space="preserve">For a rate, build the top and the bottom as </w:t>
      </w:r>
      <w:r>
        <w:rPr>
          <w:b/>
          <w:bCs/>
        </w:rPr>
        <w:t xml:space="preserve">separate measures</w:t>
      </w:r>
      <w:r>
        <w:t xml:space="preserve">, then divide with </w:t>
      </w:r>
      <w:r>
        <w:rPr>
          <w:rFonts w:ascii="Consolas" w:cs="Consolas" w:eastAsia="Consolas" w:hAnsi="Consolas"/>
          <w:color w:val="7B2C2C"/>
          <w:sz w:val="19"/>
          <w:szCs w:val="19"/>
        </w:rPr>
        <w:t xml:space="preserve">DIVIDE</w:t>
      </w:r>
      <w:r>
        <w:t xml:space="preserve">. Each part can be tested on its own.</w:t>
      </w:r>
    </w:p>
    <w:p>
      <w:pPr>
        <w:pStyle w:val="ListParagraph"/>
        <w:numPr>
          <w:ilvl w:val="0"/>
          <w:numId w:val="6"/>
        </w:numPr>
        <w:spacing w:after="60"/>
      </w:pPr>
      <w:r>
        <w:t xml:space="preserve">Put each new measure in a Card and compare it to SQL (Step 6) before moving on.</w:t>
      </w:r>
    </w:p>
    <w:p>
      <w:pPr>
        <w:pStyle w:val="Heading2"/>
      </w:pPr>
      <w:r>
        <w:t xml:space="preserve">Step 6: Validate every measure against SQL</w:t>
      </w:r>
    </w:p>
    <w:p>
      <w:pPr>
        <w:spacing w:after="120"/>
      </w:pPr>
      <w:r>
        <w:rPr>
          <w:b/>
          <w:bCs/>
        </w:rPr>
        <w:t xml:space="preserve">Purpose:</w:t>
      </w:r>
      <w:r>
        <w:t xml:space="preserve"> prove the dashboard and the warehouse agree. Run the matching SQL query on </w:t>
      </w:r>
      <w:r>
        <w:rPr>
          <w:rFonts w:ascii="Consolas" w:cs="Consolas" w:eastAsia="Consolas" w:hAnsi="Consolas"/>
          <w:color w:val="7B2C2C"/>
          <w:sz w:val="19"/>
          <w:szCs w:val="19"/>
        </w:rPr>
        <w:t xml:space="preserve">dw</w:t>
      </w:r>
      <w:r>
        <w:t xml:space="preserve"> for each measure, and compare it to the Card. Expected values are in Section 4.</w:t>
      </w:r>
    </w:p>
    <w:p>
      <w:pPr>
        <w:pStyle w:val="ListParagraph"/>
        <w:numPr>
          <w:ilvl w:val="0"/>
          <w:numId w:val="2"/>
        </w:numPr>
        <w:spacing w:after="60"/>
      </w:pPr>
      <w:r>
        <w:t xml:space="preserve">Do the testing on a separate page (rename it </w:t>
      </w:r>
      <w:r>
        <w:rPr>
          <w:rFonts w:ascii="Consolas" w:cs="Consolas" w:eastAsia="Consolas" w:hAnsi="Consolas"/>
          <w:color w:val="7B2C2C"/>
          <w:sz w:val="19"/>
          <w:szCs w:val="19"/>
        </w:rPr>
        <w:t xml:space="preserve">Validation</w:t>
      </w:r>
      <w:r>
        <w:t xml:space="preserve">, then right-click the tab and </w:t>
      </w:r>
      <w:r>
        <w:rPr>
          <w:b/>
          <w:bCs/>
        </w:rPr>
        <w:t xml:space="preserve">Hide page</w:t>
      </w:r>
      <w:r>
        <w:t xml:space="preserve">). It keeps your evidence without cluttering the report.</w:t>
      </w:r>
    </w:p>
    <w:p>
      <w:pPr>
        <w:pStyle w:val="ListParagraph"/>
        <w:numPr>
          <w:ilvl w:val="0"/>
          <w:numId w:val="2"/>
        </w:numPr>
        <w:spacing w:after="60"/>
      </w:pPr>
      <w:r>
        <w:t xml:space="preserve">Set Card </w:t>
      </w:r>
      <w:r>
        <w:rPr>
          <w:b/>
          <w:bCs/>
        </w:rPr>
        <w:t xml:space="preserve">Display units</w:t>
      </w:r>
      <w:r>
        <w:t xml:space="preserve"> to </w:t>
      </w:r>
      <w:r>
        <w:rPr>
          <w:b/>
          <w:bCs/>
        </w:rPr>
        <w:t xml:space="preserve">None</w:t>
      </w:r>
      <w:r>
        <w:t xml:space="preserve"> to see the full number. By default Cards show 13.18M.</w:t>
      </w:r>
    </w:p>
    <w:p>
      <w:pPr>
        <w:pStyle w:val="ListParagraph"/>
        <w:numPr>
          <w:ilvl w:val="0"/>
          <w:numId w:val="2"/>
        </w:numPr>
        <w:spacing w:after="60"/>
      </w:pPr>
      <w:r>
        <w:t xml:space="preserve">If a number is off, check the formula bar first. See Section 6.</w:t>
      </w:r>
    </w:p>
    <w:p>
      <w:pPr>
        <w:pStyle w:val="Heading2"/>
      </w:pPr>
      <w:r>
        <w:t xml:space="preserve">Step 7: Build the three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1784"/>
        <w:gridCol w:w="5713"/>
      </w:tblGrid>
      <w:tr>
        <w:trPr>
          <w:cantSplit/>
          <w:tblHeader/>
        </w:trPr>
        <w:tc>
          <w:tcPr>
            <w:tcW w:type="dxa" w:w="2141"/>
            <w:tcBorders>
              <w:top w:val="single" w:color="BFBFBF" w:sz="4"/>
              <w:left w:val="single" w:color="BFBFBF" w:sz="4"/>
              <w:bottom w:val="single" w:color="BFBFBF" w:sz="4"/>
              <w:right w:val="single" w:color="BFBFBF" w:sz="4"/>
            </w:tcBorders>
            <w:shd w:fill="112145" w:color="auto" w:val="clear"/>
            <w:tcMar>
              <w:top w:type="dxa" w:w="60"/>
              <w:left w:type="dxa" w:w="100"/>
              <w:bottom w:type="dxa" w:w="60"/>
              <w:right w:type="dxa" w:w="100"/>
            </w:tcMar>
          </w:tcPr>
          <w:p>
            <w:pPr>
              <w:spacing w:after="0"/>
            </w:pPr>
            <w:r>
              <w:rPr>
                <w:b/>
                <w:bCs/>
                <w:color w:val="FFFFFF"/>
                <w:sz w:val="19"/>
                <w:szCs w:val="19"/>
              </w:rPr>
              <w:t xml:space="preserve">Page</w:t>
            </w:r>
          </w:p>
        </w:tc>
        <w:tc>
          <w:tcPr>
            <w:tcW w:type="dxa" w:w="1784"/>
            <w:tcBorders>
              <w:top w:val="single" w:color="BFBFBF" w:sz="4"/>
              <w:left w:val="single" w:color="BFBFBF" w:sz="4"/>
              <w:bottom w:val="single" w:color="BFBFBF" w:sz="4"/>
              <w:right w:val="single" w:color="BFBFBF" w:sz="4"/>
            </w:tcBorders>
            <w:shd w:fill="112145" w:color="auto" w:val="clear"/>
            <w:tcMar>
              <w:top w:type="dxa" w:w="60"/>
              <w:left w:type="dxa" w:w="100"/>
              <w:bottom w:type="dxa" w:w="60"/>
              <w:right w:type="dxa" w:w="100"/>
            </w:tcMar>
          </w:tcPr>
          <w:p>
            <w:pPr>
              <w:spacing w:after="0"/>
            </w:pPr>
            <w:r>
              <w:rPr>
                <w:b/>
                <w:bCs/>
                <w:color w:val="FFFFFF"/>
                <w:sz w:val="19"/>
                <w:szCs w:val="19"/>
              </w:rPr>
              <w:t xml:space="preserve">Visual</w:t>
            </w:r>
          </w:p>
        </w:tc>
        <w:tc>
          <w:tcPr>
            <w:tcW w:type="dxa" w:w="5713"/>
            <w:tcBorders>
              <w:top w:val="single" w:color="BFBFBF" w:sz="4"/>
              <w:left w:val="single" w:color="BFBFBF" w:sz="4"/>
              <w:bottom w:val="single" w:color="BFBFBF" w:sz="4"/>
              <w:right w:val="single" w:color="BFBFBF" w:sz="4"/>
            </w:tcBorders>
            <w:shd w:fill="112145" w:color="auto" w:val="clear"/>
            <w:tcMar>
              <w:top w:type="dxa" w:w="60"/>
              <w:left w:type="dxa" w:w="100"/>
              <w:bottom w:type="dxa" w:w="60"/>
              <w:right w:type="dxa" w:w="100"/>
            </w:tcMar>
          </w:tcPr>
          <w:p>
            <w:pPr>
              <w:spacing w:after="0"/>
            </w:pPr>
            <w:r>
              <w:rPr>
                <w:b/>
                <w:bCs/>
                <w:color w:val="FFFFFF"/>
                <w:sz w:val="19"/>
                <w:szCs w:val="19"/>
              </w:rPr>
              <w:t xml:space="preserve">Fields</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1. Overview</w:t>
            </w:r>
          </w:p>
        </w:tc>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5 Cards</w:t>
            </w:r>
          </w:p>
        </w:tc>
        <w:tc>
          <w:tcPr>
            <w:tcW w:type="dxa" w:w="5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B2C2C"/>
                <w:sz w:val="17"/>
                <w:szCs w:val="17"/>
              </w:rPr>
              <w:t xml:space="preserve">Delivered GMV</w:t>
            </w:r>
            <w:r>
              <w:rPr>
                <w:sz w:val="19"/>
                <w:szCs w:val="19"/>
              </w:rPr>
              <w:t xml:space="preserve">, </w:t>
            </w:r>
            <w:r>
              <w:rPr>
                <w:rFonts w:ascii="Consolas" w:cs="Consolas" w:eastAsia="Consolas" w:hAnsi="Consolas"/>
                <w:color w:val="7B2C2C"/>
                <w:sz w:val="17"/>
                <w:szCs w:val="17"/>
              </w:rPr>
              <w:t xml:space="preserve">Delivered AOV</w:t>
            </w:r>
            <w:r>
              <w:rPr>
                <w:sz w:val="19"/>
                <w:szCs w:val="19"/>
              </w:rPr>
              <w:t xml:space="preserve">, </w:t>
            </w:r>
            <w:r>
              <w:rPr>
                <w:rFonts w:ascii="Consolas" w:cs="Consolas" w:eastAsia="Consolas" w:hAnsi="Consolas"/>
                <w:color w:val="7B2C2C"/>
                <w:sz w:val="17"/>
                <w:szCs w:val="17"/>
              </w:rPr>
              <w:t xml:space="preserve">On-Time Delivery Rate</w:t>
            </w:r>
            <w:r>
              <w:rPr>
                <w:sz w:val="19"/>
                <w:szCs w:val="19"/>
              </w:rPr>
              <w:t xml:space="preserve">, </w:t>
            </w:r>
            <w:r>
              <w:rPr>
                <w:rFonts w:ascii="Consolas" w:cs="Consolas" w:eastAsia="Consolas" w:hAnsi="Consolas"/>
                <w:color w:val="7B2C2C"/>
                <w:sz w:val="17"/>
                <w:szCs w:val="17"/>
              </w:rPr>
              <w:t xml:space="preserve">Avg Review Score</w:t>
            </w:r>
            <w:r>
              <w:rPr>
                <w:sz w:val="19"/>
                <w:szCs w:val="19"/>
              </w:rPr>
              <w:t xml:space="preserve">, </w:t>
            </w:r>
            <w:r>
              <w:rPr>
                <w:rFonts w:ascii="Consolas" w:cs="Consolas" w:eastAsia="Consolas" w:hAnsi="Consolas"/>
                <w:color w:val="7B2C2C"/>
                <w:sz w:val="17"/>
                <w:szCs w:val="17"/>
              </w:rPr>
              <w:t xml:space="preserve">Repeat Purchase Rate</w:t>
            </w:r>
          </w:p>
        </w:tc>
      </w:tr>
      <w:tr>
        <w:trPr>
          <w:cantSplit/>
        </w:trPr>
        <w:tc>
          <w:tcPr>
            <w:tcW w:type="dxa" w:w="2141"/>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p>
        </w:tc>
        <w:tc>
          <w:tcPr>
            <w:tcW w:type="dxa" w:w="1784"/>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Line chart</w:t>
            </w:r>
          </w:p>
        </w:tc>
        <w:tc>
          <w:tcPr>
            <w:tcW w:type="dxa" w:w="5713"/>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b/>
                <w:bCs/>
                <w:sz w:val="19"/>
                <w:szCs w:val="19"/>
              </w:rPr>
              <w:t xml:space="preserve">X-axis:</w:t>
            </w:r>
            <w:r>
              <w:rPr>
                <w:sz w:val="19"/>
                <w:szCs w:val="19"/>
              </w:rPr>
              <w:t xml:space="preserve"> </w:t>
            </w:r>
            <w:r>
              <w:rPr>
                <w:rFonts w:ascii="Consolas" w:cs="Consolas" w:eastAsia="Consolas" w:hAnsi="Consolas"/>
                <w:color w:val="7B2C2C"/>
                <w:sz w:val="17"/>
                <w:szCs w:val="17"/>
              </w:rPr>
              <w:t xml:space="preserve">year_month</w:t>
            </w:r>
            <w:r>
              <w:rPr>
                <w:sz w:val="19"/>
                <w:szCs w:val="19"/>
              </w:rPr>
              <w:t xml:space="preserve"> (dw dim_date)</w:t>
            </w:r>
          </w:p>
          <w:p>
            <w:pPr>
              <w:spacing w:after="0"/>
            </w:pPr>
            <w:r>
              <w:rPr>
                <w:b/>
                <w:bCs/>
                <w:sz w:val="19"/>
                <w:szCs w:val="19"/>
              </w:rPr>
              <w:t xml:space="preserve">Y-axis:</w:t>
            </w:r>
            <w:r>
              <w:rPr>
                <w:sz w:val="19"/>
                <w:szCs w:val="19"/>
              </w:rPr>
              <w:t xml:space="preserve"> </w:t>
            </w:r>
            <w:r>
              <w:rPr>
                <w:rFonts w:ascii="Consolas" w:cs="Consolas" w:eastAsia="Consolas" w:hAnsi="Consolas"/>
                <w:color w:val="7B2C2C"/>
                <w:sz w:val="17"/>
                <w:szCs w:val="17"/>
              </w:rPr>
              <w:t xml:space="preserve">Delivered GMV</w:t>
            </w:r>
          </w:p>
          <w:p>
            <w:pPr>
              <w:spacing w:after="0"/>
            </w:pPr>
            <w:r>
              <w:rPr>
                <w:sz w:val="19"/>
                <w:szCs w:val="19"/>
              </w:rPr>
              <w:t xml:space="preserve">Sort axis by </w:t>
            </w:r>
            <w:r>
              <w:rPr>
                <w:rFonts w:ascii="Consolas" w:cs="Consolas" w:eastAsia="Consolas" w:hAnsi="Consolas"/>
                <w:color w:val="7B2C2C"/>
                <w:sz w:val="17"/>
                <w:szCs w:val="17"/>
              </w:rPr>
              <w:t xml:space="preserve">year_month</w:t>
            </w:r>
            <w:r>
              <w:rPr>
                <w:sz w:val="19"/>
                <w:szCs w:val="19"/>
              </w:rPr>
              <w:t xml:space="preserve">, ascending</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2. Delivery and satisfaction</w:t>
            </w:r>
          </w:p>
        </w:tc>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3 Cards</w:t>
            </w:r>
          </w:p>
        </w:tc>
        <w:tc>
          <w:tcPr>
            <w:tcW w:type="dxa" w:w="5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B2C2C"/>
                <w:sz w:val="17"/>
                <w:szCs w:val="17"/>
              </w:rPr>
              <w:t xml:space="preserve">On-Time Delivery Rate</w:t>
            </w:r>
            <w:r>
              <w:rPr>
                <w:sz w:val="19"/>
                <w:szCs w:val="19"/>
              </w:rPr>
              <w:t xml:space="preserve">, </w:t>
            </w:r>
            <w:r>
              <w:rPr>
                <w:rFonts w:ascii="Consolas" w:cs="Consolas" w:eastAsia="Consolas" w:hAnsi="Consolas"/>
                <w:color w:val="7B2C2C"/>
                <w:sz w:val="17"/>
                <w:szCs w:val="17"/>
              </w:rPr>
              <w:t xml:space="preserve">Low Review % (Late)</w:t>
            </w:r>
            <w:r>
              <w:rPr>
                <w:sz w:val="19"/>
                <w:szCs w:val="19"/>
              </w:rPr>
              <w:t xml:space="preserve">, </w:t>
            </w:r>
            <w:r>
              <w:rPr>
                <w:rFonts w:ascii="Consolas" w:cs="Consolas" w:eastAsia="Consolas" w:hAnsi="Consolas"/>
                <w:color w:val="7B2C2C"/>
                <w:sz w:val="17"/>
                <w:szCs w:val="17"/>
              </w:rPr>
              <w:t xml:space="preserve">Low Review % (On-Time)</w:t>
            </w:r>
          </w:p>
        </w:tc>
      </w:tr>
      <w:tr>
        <w:trPr>
          <w:cantSplit/>
        </w:trPr>
        <w:tc>
          <w:tcPr>
            <w:tcW w:type="dxa" w:w="2141"/>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p>
        </w:tc>
        <w:tc>
          <w:tcPr>
            <w:tcW w:type="dxa" w:w="1784"/>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Clustered bar chart</w:t>
            </w:r>
          </w:p>
        </w:tc>
        <w:tc>
          <w:tcPr>
            <w:tcW w:type="dxa" w:w="5713"/>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b/>
                <w:bCs/>
                <w:sz w:val="19"/>
                <w:szCs w:val="19"/>
              </w:rPr>
              <w:t xml:space="preserve">Y-axis:</w:t>
            </w:r>
            <w:r>
              <w:rPr>
                <w:sz w:val="19"/>
                <w:szCs w:val="19"/>
              </w:rPr>
              <w:t xml:space="preserve"> </w:t>
            </w:r>
            <w:r>
              <w:rPr>
                <w:rFonts w:ascii="Consolas" w:cs="Consolas" w:eastAsia="Consolas" w:hAnsi="Consolas"/>
                <w:color w:val="7B2C2C"/>
                <w:sz w:val="17"/>
                <w:szCs w:val="17"/>
              </w:rPr>
              <w:t xml:space="preserve">state</w:t>
            </w:r>
            <w:r>
              <w:rPr>
                <w:sz w:val="19"/>
                <w:szCs w:val="19"/>
              </w:rPr>
              <w:t xml:space="preserve"> (dw dim_customer)</w:t>
            </w:r>
          </w:p>
          <w:p>
            <w:pPr>
              <w:spacing w:after="0"/>
            </w:pPr>
            <w:r>
              <w:rPr>
                <w:b/>
                <w:bCs/>
                <w:sz w:val="19"/>
                <w:szCs w:val="19"/>
              </w:rPr>
              <w:t xml:space="preserve">X-axis:</w:t>
            </w:r>
            <w:r>
              <w:rPr>
                <w:sz w:val="19"/>
                <w:szCs w:val="19"/>
              </w:rPr>
              <w:t xml:space="preserve"> </w:t>
            </w:r>
            <w:r>
              <w:rPr>
                <w:rFonts w:ascii="Consolas" w:cs="Consolas" w:eastAsia="Consolas" w:hAnsi="Consolas"/>
                <w:color w:val="7B2C2C"/>
                <w:sz w:val="17"/>
                <w:szCs w:val="17"/>
              </w:rPr>
              <w:t xml:space="preserve">On-Time Delivery Rate</w:t>
            </w:r>
          </w:p>
          <w:p>
            <w:pPr>
              <w:spacing w:after="0"/>
            </w:pPr>
            <w:r>
              <w:rPr>
                <w:b/>
                <w:bCs/>
                <w:sz w:val="19"/>
                <w:szCs w:val="19"/>
              </w:rPr>
              <w:t xml:space="preserve">Tooltips:</w:t>
            </w:r>
            <w:r>
              <w:rPr>
                <w:sz w:val="19"/>
                <w:szCs w:val="19"/>
              </w:rPr>
              <w:t xml:space="preserve"> </w:t>
            </w:r>
            <w:r>
              <w:rPr>
                <w:rFonts w:ascii="Consolas" w:cs="Consolas" w:eastAsia="Consolas" w:hAnsi="Consolas"/>
                <w:color w:val="7B2C2C"/>
                <w:sz w:val="17"/>
                <w:szCs w:val="17"/>
              </w:rPr>
              <w:t xml:space="preserve">Orders With Delivery Date</w:t>
            </w:r>
          </w:p>
          <w:p>
            <w:pPr>
              <w:spacing w:after="0"/>
            </w:pPr>
            <w:r>
              <w:rPr>
                <w:sz w:val="19"/>
                <w:szCs w:val="19"/>
              </w:rPr>
              <w:t xml:space="preserve">Filter: </w:t>
            </w:r>
            <w:r>
              <w:rPr>
                <w:rFonts w:ascii="Consolas" w:cs="Consolas" w:eastAsia="Consolas" w:hAnsi="Consolas"/>
                <w:color w:val="7B2C2C"/>
                <w:sz w:val="17"/>
                <w:szCs w:val="17"/>
              </w:rPr>
              <w:t xml:space="preserve">Orders With Delivery Date</w:t>
            </w:r>
            <w:r>
              <w:rPr>
                <w:sz w:val="19"/>
                <w:szCs w:val="19"/>
              </w:rPr>
              <w:t xml:space="preserve"> is 500 or more</w:t>
            </w:r>
          </w:p>
          <w:p>
            <w:pPr>
              <w:spacing w:after="0"/>
            </w:pPr>
            <w:r>
              <w:rPr>
                <w:sz w:val="19"/>
                <w:szCs w:val="19"/>
              </w:rPr>
              <w:t xml:space="preserve">Sort ascending (worst states first)</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Clustered column chart</w:t>
            </w:r>
          </w:p>
        </w:tc>
        <w:tc>
          <w:tcPr>
            <w:tcW w:type="dxa" w:w="5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9"/>
                <w:szCs w:val="19"/>
              </w:rPr>
              <w:t xml:space="preserve">X-axis:</w:t>
            </w:r>
            <w:r>
              <w:rPr>
                <w:sz w:val="19"/>
                <w:szCs w:val="19"/>
              </w:rPr>
              <w:t xml:space="preserve"> </w:t>
            </w:r>
            <w:r>
              <w:rPr>
                <w:rFonts w:ascii="Consolas" w:cs="Consolas" w:eastAsia="Consolas" w:hAnsi="Consolas"/>
                <w:color w:val="7B2C2C"/>
                <w:sz w:val="17"/>
                <w:szCs w:val="17"/>
              </w:rPr>
              <w:t xml:space="preserve">is_late</w:t>
            </w:r>
            <w:r>
              <w:rPr>
                <w:sz w:val="19"/>
                <w:szCs w:val="19"/>
              </w:rPr>
              <w:t xml:space="preserve"> (dw fact_orders)</w:t>
            </w:r>
          </w:p>
          <w:p>
            <w:pPr>
              <w:spacing w:after="0"/>
            </w:pPr>
            <w:r>
              <w:rPr>
                <w:b/>
                <w:bCs/>
                <w:sz w:val="19"/>
                <w:szCs w:val="19"/>
              </w:rPr>
              <w:t xml:space="preserve">Y-axis:</w:t>
            </w:r>
            <w:r>
              <w:rPr>
                <w:sz w:val="19"/>
                <w:szCs w:val="19"/>
              </w:rPr>
              <w:t xml:space="preserve"> </w:t>
            </w:r>
            <w:r>
              <w:rPr>
                <w:rFonts w:ascii="Consolas" w:cs="Consolas" w:eastAsia="Consolas" w:hAnsi="Consolas"/>
                <w:color w:val="7B2C2C"/>
                <w:sz w:val="17"/>
                <w:szCs w:val="17"/>
              </w:rPr>
              <w:t xml:space="preserve">Avg Review Score</w:t>
            </w:r>
          </w:p>
          <w:p>
            <w:pPr>
              <w:spacing w:after="0"/>
            </w:pPr>
            <w:r>
              <w:rPr>
                <w:sz w:val="19"/>
                <w:szCs w:val="19"/>
              </w:rPr>
              <w:t xml:space="preserve">Filter: </w:t>
            </w:r>
            <w:r>
              <w:rPr>
                <w:rFonts w:ascii="Consolas" w:cs="Consolas" w:eastAsia="Consolas" w:hAnsi="Consolas"/>
                <w:color w:val="7B2C2C"/>
                <w:sz w:val="17"/>
                <w:szCs w:val="17"/>
              </w:rPr>
              <w:t xml:space="preserve">is_late</w:t>
            </w:r>
            <w:r>
              <w:rPr>
                <w:sz w:val="19"/>
                <w:szCs w:val="19"/>
              </w:rPr>
              <w:t xml:space="preserve"> is not blank</w:t>
            </w:r>
          </w:p>
        </w:tc>
      </w:tr>
      <w:tr>
        <w:trPr>
          <w:cantSplit/>
        </w:trPr>
        <w:tc>
          <w:tcPr>
            <w:tcW w:type="dxa" w:w="2141"/>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b/>
                <w:bCs/>
                <w:sz w:val="19"/>
                <w:szCs w:val="19"/>
              </w:rPr>
              <w:t xml:space="preserve">3. Retention and concentration</w:t>
            </w:r>
          </w:p>
        </w:tc>
        <w:tc>
          <w:tcPr>
            <w:tcW w:type="dxa" w:w="1784"/>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Text box</w:t>
            </w:r>
          </w:p>
        </w:tc>
        <w:tc>
          <w:tcPr>
            <w:tcW w:type="dxa" w:w="5713"/>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Repeat rate by first-order delivery (from the SQL analysis), plus a small grey source note</w:t>
            </w:r>
          </w:p>
        </w:tc>
      </w:tr>
      <w:tr>
        <w:trPr>
          <w:cantSplit/>
        </w:trP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2 Cards</w:t>
            </w:r>
          </w:p>
        </w:tc>
        <w:tc>
          <w:tcPr>
            <w:tcW w:type="dxa" w:w="5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color w:val="7B2C2C"/>
                <w:sz w:val="17"/>
                <w:szCs w:val="17"/>
              </w:rPr>
              <w:t xml:space="preserve">Top 10 Category Share</w:t>
            </w:r>
            <w:r>
              <w:rPr>
                <w:sz w:val="19"/>
                <w:szCs w:val="19"/>
              </w:rPr>
              <w:t xml:space="preserve">, </w:t>
            </w:r>
            <w:r>
              <w:rPr>
                <w:rFonts w:ascii="Consolas" w:cs="Consolas" w:eastAsia="Consolas" w:hAnsi="Consolas"/>
                <w:color w:val="7B2C2C"/>
                <w:sz w:val="17"/>
                <w:szCs w:val="17"/>
              </w:rPr>
              <w:t xml:space="preserve">Top 10% Seller Share</w:t>
            </w:r>
          </w:p>
        </w:tc>
      </w:tr>
      <w:tr>
        <w:trPr>
          <w:cantSplit/>
        </w:trPr>
        <w:tc>
          <w:tcPr>
            <w:tcW w:type="dxa" w:w="2141"/>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p>
        </w:tc>
        <w:tc>
          <w:tcPr>
            <w:tcW w:type="dxa" w:w="1784"/>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Clustered bar chart</w:t>
            </w:r>
          </w:p>
        </w:tc>
        <w:tc>
          <w:tcPr>
            <w:tcW w:type="dxa" w:w="5713"/>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b/>
                <w:bCs/>
                <w:sz w:val="19"/>
                <w:szCs w:val="19"/>
              </w:rPr>
              <w:t xml:space="preserve">Y-axis:</w:t>
            </w:r>
            <w:r>
              <w:rPr>
                <w:sz w:val="19"/>
                <w:szCs w:val="19"/>
              </w:rPr>
              <w:t xml:space="preserve"> </w:t>
            </w:r>
            <w:r>
              <w:rPr>
                <w:rFonts w:ascii="Consolas" w:cs="Consolas" w:eastAsia="Consolas" w:hAnsi="Consolas"/>
                <w:color w:val="7B2C2C"/>
                <w:sz w:val="17"/>
                <w:szCs w:val="17"/>
              </w:rPr>
              <w:t xml:space="preserve">category_en</w:t>
            </w:r>
            <w:r>
              <w:rPr>
                <w:sz w:val="19"/>
                <w:szCs w:val="19"/>
              </w:rPr>
              <w:t xml:space="preserve"> (dw dim_product)</w:t>
            </w:r>
          </w:p>
          <w:p>
            <w:pPr>
              <w:spacing w:after="0"/>
            </w:pPr>
            <w:r>
              <w:rPr>
                <w:b/>
                <w:bCs/>
                <w:sz w:val="19"/>
                <w:szCs w:val="19"/>
              </w:rPr>
              <w:t xml:space="preserve">X-axis:</w:t>
            </w:r>
            <w:r>
              <w:rPr>
                <w:sz w:val="19"/>
                <w:szCs w:val="19"/>
              </w:rPr>
              <w:t xml:space="preserve"> </w:t>
            </w:r>
            <w:r>
              <w:rPr>
                <w:rFonts w:ascii="Consolas" w:cs="Consolas" w:eastAsia="Consolas" w:hAnsi="Consolas"/>
                <w:color w:val="7B2C2C"/>
                <w:sz w:val="17"/>
                <w:szCs w:val="17"/>
              </w:rPr>
              <w:t xml:space="preserve">Delivered GMV</w:t>
            </w:r>
          </w:p>
          <w:p>
            <w:pPr>
              <w:spacing w:after="0"/>
            </w:pPr>
            <w:r>
              <w:rPr>
                <w:sz w:val="19"/>
                <w:szCs w:val="19"/>
              </w:rPr>
              <w:t xml:space="preserve">Filter: </w:t>
            </w:r>
            <w:r>
              <w:rPr>
                <w:rFonts w:ascii="Consolas" w:cs="Consolas" w:eastAsia="Consolas" w:hAnsi="Consolas"/>
                <w:color w:val="7B2C2C"/>
                <w:sz w:val="17"/>
                <w:szCs w:val="17"/>
              </w:rPr>
              <w:t xml:space="preserve">category_en</w:t>
            </w:r>
            <w:r>
              <w:rPr>
                <w:sz w:val="19"/>
                <w:szCs w:val="19"/>
              </w:rPr>
              <w:t xml:space="preserve"> Top N, 10, by </w:t>
            </w:r>
            <w:r>
              <w:rPr>
                <w:rFonts w:ascii="Consolas" w:cs="Consolas" w:eastAsia="Consolas" w:hAnsi="Consolas"/>
                <w:color w:val="7B2C2C"/>
                <w:sz w:val="17"/>
                <w:szCs w:val="17"/>
              </w:rPr>
              <w:t xml:space="preserve">Delivered GMV</w:t>
            </w:r>
          </w:p>
        </w:tc>
      </w:tr>
    </w:tbl>
    <w:p>
      <w:pPr>
        <w:spacing w:after="80"/>
      </w:pPr>
      <w:r>
        <w:t xml:space="preserve"/>
      </w:r>
    </w:p>
    <w:p>
      <w:pPr>
        <w:spacing w:after="120"/>
      </w:pPr>
      <w:r>
        <w:rPr>
          <w:b/>
          <w:bCs/>
        </w:rPr>
        <w:t xml:space="preserve">Why a text box on page 3?</w:t>
      </w:r>
      <w:r>
        <w:t xml:space="preserve"> The repeat rate split by whether the first order was late is easier to calculate in SQL (it needs each customer's first order), so it is typed in and sourced to </w:t>
      </w:r>
      <w:r>
        <w:rPr>
          <w:rFonts w:ascii="Consolas" w:cs="Consolas" w:eastAsia="Consolas" w:hAnsi="Consolas"/>
          <w:color w:val="7B2C2C"/>
          <w:sz w:val="19"/>
          <w:szCs w:val="19"/>
        </w:rPr>
        <w:t xml:space="preserve">09_analysis_queries.sql</w:t>
      </w:r>
      <w:r>
        <w:t xml:space="preserve">.</w:t>
      </w:r>
    </w:p>
    <w:p>
      <w:pPr>
        <w:pStyle w:val="Heading2"/>
      </w:pPr>
      <w:r>
        <w:t xml:space="preserve">Step 8: Polish</w:t>
      </w:r>
    </w:p>
    <w:p>
      <w:pPr>
        <w:pStyle w:val="ListParagraph"/>
        <w:numPr>
          <w:ilvl w:val="0"/>
          <w:numId w:val="2"/>
        </w:numPr>
        <w:spacing w:after="60"/>
      </w:pPr>
      <w:r>
        <w:rPr>
          <w:b/>
          <w:bCs/>
        </w:rPr>
        <w:t xml:space="preserve">Theme:</w:t>
      </w:r>
      <w:r>
        <w:t xml:space="preserve"> download the theme </w:t>
      </w:r>
      <w:r>
        <w:rPr>
          <w:rFonts w:ascii="Consolas" w:cs="Consolas" w:eastAsia="Consolas" w:hAnsi="Consolas"/>
          <w:color w:val="7B2C2C"/>
          <w:sz w:val="19"/>
          <w:szCs w:val="19"/>
        </w:rPr>
        <w:t xml:space="preserve">.json</w:t>
      </w:r>
      <w:r>
        <w:t xml:space="preserve"> file to your computer first, then </w:t>
      </w:r>
      <w:r>
        <w:rPr>
          <w:b/>
          <w:bCs/>
        </w:rPr>
        <w:t xml:space="preserve">View &gt; Themes &gt; Browse for themes</w:t>
      </w:r>
      <w:r>
        <w:t xml:space="preserve">.</w:t>
      </w:r>
    </w:p>
    <w:p>
      <w:pPr>
        <w:pStyle w:val="ListParagraph"/>
        <w:numPr>
          <w:ilvl w:val="0"/>
          <w:numId w:val="2"/>
        </w:numPr>
        <w:spacing w:after="60"/>
      </w:pPr>
      <w:r>
        <w:rPr>
          <w:b/>
          <w:bCs/>
        </w:rPr>
        <w:t xml:space="preserve">Headers:</w:t>
      </w:r>
      <w:r>
        <w:t xml:space="preserve"> a navy rectangle across the top of each page with a white page title.</w:t>
      </w:r>
    </w:p>
    <w:p>
      <w:pPr>
        <w:pStyle w:val="ListParagraph"/>
        <w:numPr>
          <w:ilvl w:val="0"/>
          <w:numId w:val="2"/>
        </w:numPr>
        <w:spacing w:after="60"/>
      </w:pPr>
      <w:r>
        <w:rPr>
          <w:b/>
          <w:bCs/>
        </w:rPr>
        <w:t xml:space="preserve">Layout:</w:t>
      </w:r>
      <w:r>
        <w:t xml:space="preserve"> set each visual's position under </w:t>
      </w:r>
      <w:r>
        <w:rPr>
          <w:b/>
          <w:bCs/>
        </w:rPr>
        <w:t xml:space="preserve">Format visual &gt; General &gt; Properties &gt; Size and position</w:t>
      </w:r>
      <w:r>
        <w:t xml:space="preserve">, so spacing is exact. Use </w:t>
      </w:r>
      <w:r>
        <w:rPr>
          <w:b/>
          <w:bCs/>
        </w:rPr>
        <w:t xml:space="preserve">Format &gt; Align</w:t>
      </w:r>
      <w:r>
        <w:t xml:space="preserve"> to line visuals up.</w:t>
      </w:r>
    </w:p>
    <w:p>
      <w:pPr>
        <w:pStyle w:val="ListParagraph"/>
        <w:numPr>
          <w:ilvl w:val="0"/>
          <w:numId w:val="2"/>
        </w:numPr>
        <w:spacing w:after="60"/>
      </w:pPr>
      <w:r>
        <w:rPr>
          <w:b/>
          <w:bCs/>
        </w:rPr>
        <w:t xml:space="preserve">Housekeeping:</w:t>
      </w:r>
      <w:r>
        <w:t xml:space="preserve"> hide the helper measures (the building blocks of each rate) and delete any leftover duplicate measures. After any rename, re-read the formulas that depend on it.</w:t>
      </w:r>
    </w:p>
    <w:p>
      <w:pPr>
        <w:pStyle w:val="Heading1"/>
      </w:pPr>
      <w:r>
        <w:t xml:space="preserve">3. Measure reference</w:t>
      </w:r>
    </w:p>
    <w:p>
      <w:pPr>
        <w:spacing w:after="120"/>
      </w:pPr>
      <w:r>
        <w:t xml:space="preserve">All measures live in </w:t>
      </w:r>
      <w:r>
        <w:rPr>
          <w:rFonts w:ascii="Consolas" w:cs="Consolas" w:eastAsia="Consolas" w:hAnsi="Consolas"/>
          <w:color w:val="7B2C2C"/>
          <w:sz w:val="19"/>
          <w:szCs w:val="19"/>
        </w:rPr>
        <w:t xml:space="preserve">_Measures</w:t>
      </w:r>
      <w:r>
        <w:t xml:space="preserve">. Keep the names exactly as written so the formulas that depend on them keep working.</w:t>
      </w:r>
    </w:p>
    <w:p>
      <w:pPr>
        <w:pStyle w:val="Heading3"/>
      </w:pPr>
      <w:r>
        <w:t xml:space="preserve">KPI 1: Sales and growth</w:t>
      </w:r>
    </w:p>
    <w:p>
      <w:pPr>
        <w:keepNext/>
        <w:spacing w:after="60" w:before="120"/>
      </w:pPr>
      <w:r>
        <w:rPr>
          <w:b/>
          <w:bCs/>
          <w:color w:val="112145"/>
          <w:sz w:val="19"/>
          <w:szCs w:val="19"/>
        </w:rPr>
        <w:t xml:space="preserve">Delivered GMV, orders and average order value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Delivered GMV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CALCULATE(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SUM('dw fact_order_items'[price]),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'dw fact_order_items'[order_status] = "delivered"</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Delivered Orders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CALCULATE(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DISTINCTCOUNT('dw fact_orders'[order_id]),</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'dw fact_orders'[order_status] = "delivered"</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val="false"/>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Delivered AOV = DIVIDE( [Delivered GMV], [Delivered Orders] )</w:t>
      </w:r>
    </w:p>
    <w:p>
      <w:pPr>
        <w:spacing w:after="80"/>
      </w:pPr>
      <w:r>
        <w:t xml:space="preserve"/>
      </w:r>
    </w:p>
    <w:p>
      <w:pPr>
        <w:keepNext/>
        <w:spacing w:after="60" w:before="120"/>
      </w:pPr>
      <w:r>
        <w:rPr>
          <w:b/>
          <w:bCs/>
          <w:color w:val="112145"/>
          <w:sz w:val="19"/>
          <w:szCs w:val="19"/>
        </w:rPr>
        <w:t xml:space="preserve">Growth (needs the date table from Step 2)</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Delivered GMV PM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CALCULATE( [Delivered GMV], DATEADD( 'dw dim_date'[full_date], -1, MONTH )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Delivered GMV MoM %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DIVIDE( [Delivered GMV] - [Delivered GMV PM], [Delivered GMV PM]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Delivered GMV LY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CALCULATE( [Delivered GMV], SAMEPERIODLASTYEAR( 'dw dim_date'[full_date] )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Delivered GMV YoY % =</w:t>
      </w:r>
    </w:p>
    <w:p>
      <w:pPr>
        <w:keepNext w:val="false"/>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DIVIDE( [Delivered GMV] - [Delivered GMV LY], [Delivered GMV LY] )</w:t>
      </w:r>
    </w:p>
    <w:p>
      <w:pPr>
        <w:spacing w:after="80"/>
      </w:pPr>
      <w:r>
        <w:t xml:space="preserve"/>
      </w:r>
    </w:p>
    <w:p>
      <w:pPr>
        <w:pStyle w:val="Heading3"/>
      </w:pPr>
      <w:r>
        <w:t xml:space="preserve">KPI 2: On-time delivery</w:t>
      </w:r>
    </w:p>
    <w:p>
      <w:pPr>
        <w:keepNext/>
        <w:spacing w:after="60" w:before="120"/>
      </w:pPr>
      <w:r>
        <w:rPr>
          <w:b/>
          <w:bCs/>
          <w:color w:val="112145"/>
          <w:sz w:val="19"/>
          <w:szCs w:val="19"/>
        </w:rPr>
        <w:t xml:space="preserve">Rate and its two building blocks</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On-Time Orders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COUNTROWS(</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FILTER(</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'dw fact_orders',</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NOT ISBLANK('dw fact_orders'[is_late])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&amp;&amp; 'dw fact_orders'[is_late] = FALSE()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Orders With Delivery Date = COUNTA('dw fact_orders'[is_late])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On-Time Delivery Rate =</w:t>
      </w:r>
    </w:p>
    <w:p>
      <w:pPr>
        <w:keepNext w:val="false"/>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DIVIDE( [On-Time Orders], [Orders With Delivery Date] )</w:t>
      </w:r>
    </w:p>
    <w:p>
      <w:pPr>
        <w:spacing w:after="80"/>
      </w:pPr>
      <w:r>
        <w:t xml:space="preserve"/>
      </w:r>
    </w:p>
    <w:p>
      <w:pPr>
        <w:pStyle w:val="Heading3"/>
      </w:pPr>
      <w:r>
        <w:t xml:space="preserve">KPI 3: Review score</w:t>
      </w:r>
    </w:p>
    <w:p>
      <w:pPr>
        <w:keepNext/>
        <w:spacing w:after="60" w:before="120"/>
      </w:pPr>
      <w:r>
        <w:rPr>
          <w:b/>
          <w:bCs/>
          <w:color w:val="112145"/>
          <w:sz w:val="19"/>
          <w:szCs w:val="19"/>
        </w:rPr>
        <w:t xml:space="preserve">Overall score and low-review share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Avg Review Score = AVERAGE('dw fact_orders'[review_score])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Low Review Orders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CALCULATE(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COUNTROWS('dw fact_orders'),</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'dw fact_orders'[review_score] IN { 1, 2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Orders With Review = COUNT('dw fact_orders'[review_score])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val="false"/>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Low Reviews = DIVIDE( [Low Review Orders], [Orders With Review] )</w:t>
      </w:r>
    </w:p>
    <w:p>
      <w:pPr>
        <w:spacing w:after="80"/>
      </w:pPr>
      <w:r>
        <w:t xml:space="preserve"/>
      </w:r>
    </w:p>
    <w:p>
      <w:pPr>
        <w:keepNext/>
        <w:spacing w:after="60" w:before="120"/>
      </w:pPr>
      <w:r>
        <w:rPr>
          <w:b/>
          <w:bCs/>
          <w:color w:val="112145"/>
          <w:sz w:val="19"/>
          <w:szCs w:val="19"/>
        </w:rPr>
        <w:t xml:space="preserve">Late vs on-time comparison</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Avg Review Score (Late)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CALCULATE( [Avg Review Score], 'dw fact_orders'[is_late] = TRUE()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Avg Review Score (On-Time)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CALCULATE(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[Avg Review Score],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FILTER(</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'dw fact_orders',</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NOT ISBLANK('dw fact_orders'[is_late])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&amp;&amp; 'dw fact_orders'[is_late] = FALSE()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Low Review % (Late)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CALCULATE( [% Low Reviews], 'dw fact_orders'[is_late] = TRUE()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Low Review % (On-Time)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CALCULATE(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 Low Reviews],</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FILTER(</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'dw fact_orders',</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NOT ISBLANK('dw fact_orders'[is_late])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&amp;&amp; 'dw fact_orders'[is_late] = FALSE()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val="false"/>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w:t>
      </w:r>
    </w:p>
    <w:p>
      <w:pPr>
        <w:spacing w:after="80"/>
      </w:pPr>
      <w:r>
        <w:t xml:space="preserve"/>
      </w:r>
    </w:p>
    <w:p>
      <w:pPr>
        <w:pStyle w:val="Heading3"/>
      </w:pPr>
      <w:r>
        <w:t xml:space="preserve">KPI 4: Repeat purchase rate</w:t>
      </w:r>
    </w:p>
    <w:p>
      <w:pPr>
        <w:keepNext/>
        <w:spacing w:after="60" w:before="120"/>
      </w:pPr>
      <w:r>
        <w:rPr>
          <w:b/>
          <w:bCs/>
          <w:color w:val="112145"/>
          <w:sz w:val="19"/>
          <w:szCs w:val="19"/>
        </w:rPr>
        <w:t xml:space="preserve">Counts people, not orders, so it works one customer at a time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Repeat Customers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COUNTROWS(</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FILTER(</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DISTINCT('dw dim_customer'[customer_unique_id]),</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CALCULATE( DISTINCTCOUNT('dw fact_orders'[order_id]) ) &gt; 1</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Customers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COUNTROWS(</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FILTER(</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DISTINCT('dw dim_customer'[customer_unique_id]),</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CALCULATE( DISTINCTCOUNT('dw fact_orders'[order_id]) ) &gt; 0</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val="false"/>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Repeat Purchase Rate = DIVIDE( [Repeat Customers], [Customers] )</w:t>
      </w:r>
    </w:p>
    <w:p>
      <w:pPr>
        <w:spacing w:after="80"/>
      </w:pPr>
      <w:r>
        <w:t xml:space="preserve"/>
      </w:r>
    </w:p>
    <w:p>
      <w:pPr>
        <w:pStyle w:val="Heading3"/>
      </w:pPr>
      <w:r>
        <w:t xml:space="preserve">KPI 5: Revenue concentration</w:t>
      </w:r>
    </w:p>
    <w:p>
      <w:pPr>
        <w:keepNext/>
        <w:spacing w:after="60" w:before="120"/>
      </w:pPr>
      <w:r>
        <w:rPr>
          <w:b/>
          <w:bCs/>
          <w:color w:val="112145"/>
          <w:sz w:val="19"/>
          <w:szCs w:val="19"/>
        </w:rPr>
        <w:t xml:space="preserve">Top 10 categories and top 10% of sellers</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Top 10 Category GMV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CALCULATE(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[Delivered GMV],</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TOPN( 10, ALL('dw dim_product'[category_en]), [Delivered GMV]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Top 10 Category Share = DIVIDE( [Top 10 Category GMV], [Delivered GMV]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Top 10% Seller GMV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VAR SellersWithSales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CALCULATE(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DISTINCTCOUNT('dw fact_order_items'[seller_key]),</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'dw fact_order_items'[order_status] = "delivered"</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VAR NumTopSellers = ROUNDUP( 0.1 * SellersWithSales, 0 )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RETURN</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CALCULATE(</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[Delivered GMV],</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TOPN( NumTopSellers, ALL('dw dim_seller'[seller_key]), [Delivered GMV]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 </w:t>
      </w:r>
    </w:p>
    <w:p>
      <w:pPr>
        <w:keepNext w:val="false"/>
        <w:keepLines/>
        <w:pBdr>
          <w:left w:val="single" w:color="38A9E8" w:sz="12" w:space="6"/>
        </w:pBdr>
        <w:shd w:fill="F3F4F6" w:color="auto" w:val="clear"/>
        <w:spacing w:after="0" w:before="0" w:line="240"/>
        <w:ind w:left="200" w:right="100"/>
      </w:pPr>
      <w:r>
        <w:rPr>
          <w:rFonts w:ascii="Consolas" w:cs="Consolas" w:eastAsia="Consolas" w:hAnsi="Consolas"/>
          <w:sz w:val="17"/>
          <w:szCs w:val="17"/>
        </w:rPr>
        <w:t xml:space="preserve">Top 10% Seller Share = DIVIDE( [Top 10% Seller GMV], [Delivered GMV] )</w:t>
      </w:r>
    </w:p>
    <w:p>
      <w:pPr>
        <w:spacing w:after="80"/>
      </w:pPr>
      <w:r>
        <w:t xml:space="preserve"/>
      </w:r>
    </w:p>
    <w:p>
      <w:pPr>
        <w:pStyle w:val="Heading1"/>
      </w:pPr>
      <w:r>
        <w:t xml:space="preserve">4. Validation summary</w:t>
      </w:r>
    </w:p>
    <w:p>
      <w:pPr>
        <w:spacing w:after="120"/>
      </w:pPr>
      <w:r>
        <w:t xml:space="preserve">Every measure below was matched to an equivalent SQL query on the </w:t>
      </w:r>
      <w:r>
        <w:rPr>
          <w:rFonts w:ascii="Consolas" w:cs="Consolas" w:eastAsia="Consolas" w:hAnsi="Consolas"/>
          <w:color w:val="7B2C2C"/>
          <w:sz w:val="19"/>
          <w:szCs w:val="19"/>
        </w:rPr>
        <w:t xml:space="preserve">dw</w:t>
      </w:r>
      <w:r>
        <w:t xml:space="preserve">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cantSplit/>
          <w:tblHeader/>
        </w:trPr>
        <w:tc>
          <w:tcPr>
            <w:tcW w:type="dxa" w:w="4130"/>
            <w:tcBorders>
              <w:top w:val="single" w:color="BFBFBF" w:sz="4"/>
              <w:left w:val="single" w:color="BFBFBF" w:sz="4"/>
              <w:bottom w:val="single" w:color="BFBFBF" w:sz="4"/>
              <w:right w:val="single" w:color="BFBFBF" w:sz="4"/>
            </w:tcBorders>
            <w:shd w:fill="112145" w:color="auto" w:val="clear"/>
            <w:tcMar>
              <w:top w:type="dxa" w:w="60"/>
              <w:left w:type="dxa" w:w="100"/>
              <w:bottom w:type="dxa" w:w="60"/>
              <w:right w:type="dxa" w:w="100"/>
            </w:tcMar>
          </w:tcPr>
          <w:p>
            <w:pPr>
              <w:spacing w:after="0"/>
            </w:pPr>
            <w:r>
              <w:rPr>
                <w:b/>
                <w:bCs/>
                <w:color w:val="FFFFFF"/>
                <w:sz w:val="19"/>
                <w:szCs w:val="19"/>
              </w:rPr>
              <w:t xml:space="preserve">Measure</w:t>
            </w:r>
          </w:p>
        </w:tc>
        <w:tc>
          <w:tcPr>
            <w:tcW w:type="dxa" w:w="5508"/>
            <w:tcBorders>
              <w:top w:val="single" w:color="BFBFBF" w:sz="4"/>
              <w:left w:val="single" w:color="BFBFBF" w:sz="4"/>
              <w:bottom w:val="single" w:color="BFBFBF" w:sz="4"/>
              <w:right w:val="single" w:color="BFBFBF" w:sz="4"/>
            </w:tcBorders>
            <w:shd w:fill="112145" w:color="auto" w:val="clear"/>
            <w:tcMar>
              <w:top w:type="dxa" w:w="60"/>
              <w:left w:type="dxa" w:w="100"/>
              <w:bottom w:type="dxa" w:w="60"/>
              <w:right w:type="dxa" w:w="100"/>
            </w:tcMar>
          </w:tcPr>
          <w:p>
            <w:pPr>
              <w:spacing w:after="0"/>
            </w:pPr>
            <w:r>
              <w:rPr>
                <w:b/>
                <w:bCs/>
                <w:color w:val="FFFFFF"/>
                <w:sz w:val="19"/>
                <w:szCs w:val="19"/>
              </w:rPr>
              <w:t xml:space="preserve">Expected value (matches SQL)</w:t>
            </w:r>
          </w:p>
        </w:tc>
      </w:tr>
      <w:tr>
        <w:trPr>
          <w:cantSplit/>
        </w:trPr>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Delivered GMV</w:t>
            </w:r>
          </w:p>
        </w:tc>
        <w:tc>
          <w:tcPr>
            <w:tcW w:type="dxa" w:w="5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13,181,027.13</w:t>
            </w:r>
          </w:p>
        </w:tc>
      </w:tr>
      <w:tr>
        <w:trPr>
          <w:cantSplit/>
        </w:trPr>
        <w:tc>
          <w:tcPr>
            <w:tcW w:type="dxa" w:w="4130"/>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Delivered Orders</w:t>
            </w:r>
          </w:p>
        </w:tc>
        <w:tc>
          <w:tcPr>
            <w:tcW w:type="dxa" w:w="5508"/>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96,211</w:t>
            </w:r>
          </w:p>
        </w:tc>
      </w:tr>
      <w:tr>
        <w:trPr>
          <w:cantSplit/>
        </w:trPr>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Delivered AOV</w:t>
            </w:r>
          </w:p>
        </w:tc>
        <w:tc>
          <w:tcPr>
            <w:tcW w:type="dxa" w:w="5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about 137</w:t>
            </w:r>
          </w:p>
        </w:tc>
      </w:tr>
      <w:tr>
        <w:trPr>
          <w:cantSplit/>
        </w:trPr>
        <w:tc>
          <w:tcPr>
            <w:tcW w:type="dxa" w:w="4130"/>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On-Time Delivery Rate</w:t>
            </w:r>
          </w:p>
        </w:tc>
        <w:tc>
          <w:tcPr>
            <w:tcW w:type="dxa" w:w="5508"/>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93.21%</w:t>
            </w:r>
          </w:p>
        </w:tc>
      </w:tr>
      <w:tr>
        <w:trPr>
          <w:cantSplit/>
        </w:trPr>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Orders With Delivery Date</w:t>
            </w:r>
          </w:p>
        </w:tc>
        <w:tc>
          <w:tcPr>
            <w:tcW w:type="dxa" w:w="5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96,203</w:t>
            </w:r>
          </w:p>
        </w:tc>
      </w:tr>
      <w:tr>
        <w:trPr>
          <w:cantSplit/>
        </w:trPr>
        <w:tc>
          <w:tcPr>
            <w:tcW w:type="dxa" w:w="4130"/>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Avg Review Score</w:t>
            </w:r>
          </w:p>
        </w:tc>
        <w:tc>
          <w:tcPr>
            <w:tcW w:type="dxa" w:w="5508"/>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4.09</w:t>
            </w:r>
          </w:p>
        </w:tc>
      </w:tr>
      <w:tr>
        <w:trPr>
          <w:cantSplit/>
        </w:trPr>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Avg Review Score: on time / late</w:t>
            </w:r>
          </w:p>
        </w:tc>
        <w:tc>
          <w:tcPr>
            <w:tcW w:type="dxa" w:w="5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4.29 / 2.27</w:t>
            </w:r>
          </w:p>
        </w:tc>
      </w:tr>
      <w:tr>
        <w:trPr>
          <w:cantSplit/>
        </w:trPr>
        <w:tc>
          <w:tcPr>
            <w:tcW w:type="dxa" w:w="4130"/>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Low Review %: on time / late</w:t>
            </w:r>
          </w:p>
        </w:tc>
        <w:tc>
          <w:tcPr>
            <w:tcW w:type="dxa" w:w="5508"/>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9.25% / 62.46%</w:t>
            </w:r>
          </w:p>
        </w:tc>
      </w:tr>
      <w:tr>
        <w:trPr>
          <w:cantSplit/>
        </w:trPr>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Repeat Purchase Rate</w:t>
            </w:r>
          </w:p>
        </w:tc>
        <w:tc>
          <w:tcPr>
            <w:tcW w:type="dxa" w:w="5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3.11%</w:t>
            </w:r>
          </w:p>
        </w:tc>
      </w:tr>
      <w:tr>
        <w:trPr>
          <w:cantSplit/>
        </w:trPr>
        <w:tc>
          <w:tcPr>
            <w:tcW w:type="dxa" w:w="4130"/>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Top 10 Category GMV / Share</w:t>
            </w:r>
          </w:p>
        </w:tc>
        <w:tc>
          <w:tcPr>
            <w:tcW w:type="dxa" w:w="5508"/>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8,233,585.75 / 62.47%</w:t>
            </w:r>
          </w:p>
        </w:tc>
      </w:tr>
      <w:tr>
        <w:trPr>
          <w:cantSplit/>
        </w:trPr>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Top 10% Seller GMV / Share</w:t>
            </w:r>
          </w:p>
        </w:tc>
        <w:tc>
          <w:tcPr>
            <w:tcW w:type="dxa" w:w="55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9"/>
                <w:szCs w:val="19"/>
              </w:rPr>
              <w:t xml:space="preserve">8,837,128.78 / 67.04%</w:t>
            </w:r>
          </w:p>
        </w:tc>
      </w:tr>
      <w:tr>
        <w:trPr>
          <w:cantSplit/>
        </w:trPr>
        <w:tc>
          <w:tcPr>
            <w:tcW w:type="dxa" w:w="4130"/>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GMV, Jan to Aug: 2017 / 2018</w:t>
            </w:r>
          </w:p>
        </w:tc>
        <w:tc>
          <w:tcPr>
            <w:tcW w:type="dxa" w:w="5508"/>
            <w:tcBorders>
              <w:top w:val="single" w:color="BFBFBF" w:sz="4"/>
              <w:left w:val="single" w:color="BFBFBF" w:sz="4"/>
              <w:bottom w:val="single" w:color="BFBFBF" w:sz="4"/>
              <w:right w:val="single" w:color="BFBFBF" w:sz="4"/>
            </w:tcBorders>
            <w:shd w:fill="F4F7FB" w:color="auto" w:val="clear"/>
            <w:tcMar>
              <w:top w:type="dxa" w:w="60"/>
              <w:left w:type="dxa" w:w="100"/>
              <w:bottom w:type="dxa" w:w="60"/>
              <w:right w:type="dxa" w:w="100"/>
            </w:tcMar>
          </w:tcPr>
          <w:p>
            <w:pPr>
              <w:spacing w:after="0"/>
            </w:pPr>
            <w:r>
              <w:rPr>
                <w:sz w:val="19"/>
                <w:szCs w:val="19"/>
              </w:rPr>
              <w:t xml:space="preserve">2,993,456.13 / 7,218,125.12</w:t>
            </w:r>
          </w:p>
        </w:tc>
      </w:tr>
    </w:tbl>
    <w:p>
      <w:pPr>
        <w:spacing w:after="80"/>
      </w:pPr>
      <w:r>
        <w:t xml:space="preserve"/>
      </w:r>
    </w:p>
    <w:p>
      <w:pPr>
        <w:pStyle w:val="Heading1"/>
      </w:pPr>
      <w:r>
        <w:t xml:space="preserve">5. Findings</w:t>
      </w:r>
    </w:p>
    <w:p>
      <w:pPr>
        <w:spacing w:after="120"/>
      </w:pPr>
      <w:r>
        <w:t xml:space="preserve">Each finding follows the same pattern: what the data shows, why it might be happening, why it matters, and what to do next.</w:t>
      </w:r>
    </w:p>
    <w:p>
      <w:pPr>
        <w:pStyle w:val="Heading3"/>
      </w:pPr>
      <w:r>
        <w:t xml:space="preserve">Growth flattened after 2017</w:t>
      </w:r>
    </w:p>
    <w:p>
      <w:pPr>
        <w:spacing w:after="60"/>
      </w:pPr>
      <w:r>
        <w:rPr>
          <w:b/>
          <w:bCs/>
        </w:rPr>
        <w:t xml:space="preserve">What:</w:t>
      </w:r>
      <w:r>
        <w:t xml:space="preserve"> Monthly sales climbed through 2017 (with a jump in November) and stayed roughly flat through 2018.</w:t>
      </w:r>
    </w:p>
    <w:p>
      <w:pPr>
        <w:spacing w:after="60"/>
      </w:pPr>
      <w:r>
        <w:rPr>
          <w:b/>
          <w:bCs/>
        </w:rPr>
        <w:t xml:space="preserve">Why:</w:t>
      </w:r>
      <w:r>
        <w:t xml:space="preserve"> Most of the growth came from a small starting base. What capped 2018 is not answered by this data (untested).</w:t>
      </w:r>
    </w:p>
    <w:p>
      <w:pPr>
        <w:spacing w:after="60"/>
      </w:pPr>
      <w:r>
        <w:rPr>
          <w:b/>
          <w:bCs/>
        </w:rPr>
        <w:t xml:space="preserve">So what:</w:t>
      </w:r>
      <w:r>
        <w:t xml:space="preserve"> Further growth needs something beyond the current pace of customer acquisition.</w:t>
      </w:r>
    </w:p>
    <w:p>
      <w:pPr>
        <w:spacing w:after="160"/>
      </w:pPr>
      <w:r>
        <w:rPr>
          <w:b/>
          <w:bCs/>
        </w:rPr>
        <w:t xml:space="preserve">Now what:</w:t>
      </w:r>
      <w:r>
        <w:t xml:space="preserve"> Investigate what limits growth: acquisition, retention or supply.</w:t>
      </w:r>
    </w:p>
    <w:p>
      <w:pPr>
        <w:pStyle w:val="Heading3"/>
      </w:pPr>
      <w:r>
        <w:t xml:space="preserve">Late delivery sharply lowers satisfaction</w:t>
      </w:r>
    </w:p>
    <w:p>
      <w:pPr>
        <w:spacing w:after="60"/>
      </w:pPr>
      <w:r>
        <w:rPr>
          <w:b/>
          <w:bCs/>
        </w:rPr>
        <w:t xml:space="preserve">What:</w:t>
      </w:r>
      <w:r>
        <w:t xml:space="preserve"> Late orders average about 2.3 stars against about 4.3 for on-time orders, and about 6 in 10 late orders get a 1-2 star review.</w:t>
      </w:r>
    </w:p>
    <w:p>
      <w:pPr>
        <w:spacing w:after="60"/>
      </w:pPr>
      <w:r>
        <w:rPr>
          <w:b/>
          <w:bCs/>
        </w:rPr>
        <w:t xml:space="preserve">Why:</w:t>
      </w:r>
      <w:r>
        <w:t xml:space="preserve"> Customers who receive orders late are far more likely to be unhappy. Distance and seller mix may also play a part (untested).</w:t>
      </w:r>
    </w:p>
    <w:p>
      <w:pPr>
        <w:spacing w:after="60"/>
      </w:pPr>
      <w:r>
        <w:rPr>
          <w:b/>
          <w:bCs/>
        </w:rPr>
        <w:t xml:space="preserve">So what:</w:t>
      </w:r>
      <w:r>
        <w:t xml:space="preserve"> Only about 7% of orders are late, but they produce a large share of the bad reviews.</w:t>
      </w:r>
    </w:p>
    <w:p>
      <w:pPr>
        <w:spacing w:after="160"/>
      </w:pPr>
      <w:r>
        <w:rPr>
          <w:b/>
          <w:bCs/>
        </w:rPr>
        <w:t xml:space="preserve">Now what:</w:t>
      </w:r>
      <w:r>
        <w:t xml:space="preserve"> Aim delivery improvements at the slowest states (MA is lowest) and check how accurate the estimated dates are.</w:t>
      </w:r>
    </w:p>
    <w:p>
      <w:pPr>
        <w:pStyle w:val="Heading3"/>
      </w:pPr>
      <w:r>
        <w:t xml:space="preserve">Very few customers come back, whatever the delivery</w:t>
      </w:r>
    </w:p>
    <w:p>
      <w:pPr>
        <w:spacing w:after="60"/>
      </w:pPr>
      <w:r>
        <w:rPr>
          <w:b/>
          <w:bCs/>
        </w:rPr>
        <w:t xml:space="preserve">What:</w:t>
      </w:r>
      <w:r>
        <w:t xml:space="preserve"> About 3% of customers order again. Customers whose first order was late return only slightly less than those whose first order was on time.</w:t>
      </w:r>
    </w:p>
    <w:p>
      <w:pPr>
        <w:spacing w:after="60"/>
      </w:pPr>
      <w:r>
        <w:rPr>
          <w:b/>
          <w:bCs/>
        </w:rPr>
        <w:t xml:space="preserve">Why:</w:t>
      </w:r>
      <w:r>
        <w:t xml:space="preserve"> Delivery explains little of the gap. Customers may buy once and not need a second purchase, or lack a reason to return (untested).</w:t>
      </w:r>
    </w:p>
    <w:p>
      <w:pPr>
        <w:spacing w:after="60"/>
      </w:pPr>
      <w:r>
        <w:rPr>
          <w:b/>
          <w:bCs/>
        </w:rPr>
        <w:t xml:space="preserve">So what:</w:t>
      </w:r>
      <w:r>
        <w:t xml:space="preserve"> Growth relies on constantly acquiring new customers, which is expensive.</w:t>
      </w:r>
    </w:p>
    <w:p>
      <w:pPr>
        <w:spacing w:after="160"/>
      </w:pPr>
      <w:r>
        <w:rPr>
          <w:b/>
          <w:bCs/>
        </w:rPr>
        <w:t xml:space="preserve">Now what:</w:t>
      </w:r>
      <w:r>
        <w:t xml:space="preserve"> Test retention ideas beyond delivery, such as post-purchase re-engagement.</w:t>
      </w:r>
    </w:p>
    <w:p>
      <w:pPr>
        <w:pStyle w:val="Heading3"/>
      </w:pPr>
      <w:r>
        <w:t xml:space="preserve">Sales are concentrated</w:t>
      </w:r>
    </w:p>
    <w:p>
      <w:pPr>
        <w:spacing w:after="60"/>
      </w:pPr>
      <w:r>
        <w:rPr>
          <w:b/>
          <w:bCs/>
        </w:rPr>
        <w:t xml:space="preserve">What:</w:t>
      </w:r>
      <w:r>
        <w:t xml:space="preserve"> The top 10 categories bring in about 62% of sales, and the top 10% of sellers about 67%.</w:t>
      </w:r>
    </w:p>
    <w:p>
      <w:pPr>
        <w:spacing w:after="60"/>
      </w:pPr>
      <w:r>
        <w:rPr>
          <w:b/>
          <w:bCs/>
        </w:rPr>
        <w:t xml:space="preserve">Why:</w:t>
      </w:r>
      <w:r>
        <w:t xml:space="preserve"> A small group of categories and sellers carries the marketplace (typical of marketplaces, not tested further).</w:t>
      </w:r>
    </w:p>
    <w:p>
      <w:pPr>
        <w:spacing w:after="60"/>
      </w:pPr>
      <w:r>
        <w:rPr>
          <w:b/>
          <w:bCs/>
        </w:rPr>
        <w:t xml:space="preserve">So what:</w:t>
      </w:r>
      <w:r>
        <w:t xml:space="preserve"> Losing or upsetting a few big sellers would have an outsized effect.</w:t>
      </w:r>
    </w:p>
    <w:p>
      <w:pPr>
        <w:spacing w:after="160"/>
      </w:pPr>
      <w:r>
        <w:rPr>
          <w:b/>
          <w:bCs/>
        </w:rPr>
        <w:t xml:space="preserve">Now what:</w:t>
      </w:r>
      <w:r>
        <w:t xml:space="preserve"> Watch the delivery performance of the top sellers and avoid depending on a few categories.</w:t>
      </w:r>
    </w:p>
    <w:p>
      <w:pPr>
        <w:pBdr>
          <w:left w:val="single" w:color="38A9E8" w:sz="18" w:space="8"/>
        </w:pBdr>
        <w:shd w:fill="E8F1FB" w:color="auto" w:val="clear"/>
        <w:spacing w:after="160" w:before="80"/>
        <w:ind w:left="200" w:right="100"/>
      </w:pPr>
      <w:r>
        <w:rPr>
          <w:b/>
          <w:bCs/>
        </w:rPr>
        <w:t xml:space="preserve">Caution:</w:t>
      </w:r>
      <w:r>
        <w:t xml:space="preserve"> these results show a link, not proof of cause. Late orders might also be the far-away ones or come from particular sellers.</w:t>
      </w:r>
    </w:p>
    <w:p>
      <w:pPr>
        <w:pStyle w:val="Heading1"/>
      </w:pPr>
      <w:r>
        <w:t xml:space="preserve">6. Troubleshooting and lessons learned</w:t>
      </w:r>
    </w:p>
    <w:p>
      <w:pPr>
        <w:pStyle w:val="ListParagraph"/>
        <w:numPr>
          <w:ilvl w:val="0"/>
          <w:numId w:val="2"/>
        </w:numPr>
        <w:spacing w:after="60"/>
      </w:pPr>
      <w:r>
        <w:rPr>
          <w:b/>
          <w:bCs/>
        </w:rPr>
        <w:t xml:space="preserve">Table names have a schema prefix.</w:t>
      </w:r>
      <w:r>
        <w:t xml:space="preserve"> Power BI shows </w:t>
      </w:r>
      <w:r>
        <w:rPr>
          <w:rFonts w:ascii="Consolas" w:cs="Consolas" w:eastAsia="Consolas" w:hAnsi="Consolas"/>
          <w:color w:val="7B2C2C"/>
          <w:sz w:val="19"/>
          <w:szCs w:val="19"/>
        </w:rPr>
        <w:t xml:space="preserve">dw fact_orders</w:t>
      </w:r>
      <w:r>
        <w:t xml:space="preserve">, so formulas use </w:t>
      </w:r>
      <w:r>
        <w:rPr>
          <w:rFonts w:ascii="Consolas" w:cs="Consolas" w:eastAsia="Consolas" w:hAnsi="Consolas"/>
          <w:color w:val="7B2C2C"/>
          <w:sz w:val="19"/>
          <w:szCs w:val="19"/>
        </w:rPr>
        <w:t xml:space="preserve">'dw fact_orders'[column]</w:t>
      </w:r>
      <w:r>
        <w:t xml:space="preserve">. Copy names from the Fields pane.</w:t>
      </w:r>
    </w:p>
    <w:p>
      <w:pPr>
        <w:pStyle w:val="ListParagraph"/>
        <w:numPr>
          <w:ilvl w:val="0"/>
          <w:numId w:val="2"/>
        </w:numPr>
        <w:spacing w:after="60"/>
      </w:pPr>
      <w:r>
        <w:rPr>
          <w:b/>
          <w:bCs/>
        </w:rPr>
        <w:t xml:space="preserve">`COUNT` errors on True/False columns.</w:t>
      </w:r>
      <w:r>
        <w:t xml:space="preserve"> Use </w:t>
      </w:r>
      <w:r>
        <w:rPr>
          <w:rFonts w:ascii="Consolas" w:cs="Consolas" w:eastAsia="Consolas" w:hAnsi="Consolas"/>
          <w:color w:val="7B2C2C"/>
          <w:sz w:val="19"/>
          <w:szCs w:val="19"/>
        </w:rPr>
        <w:t xml:space="preserve">COUNTA</w:t>
      </w:r>
      <w:r>
        <w:t xml:space="preserve">, which also handles text and booleans.</w:t>
      </w:r>
    </w:p>
    <w:p>
      <w:pPr>
        <w:pStyle w:val="ListParagraph"/>
        <w:numPr>
          <w:ilvl w:val="0"/>
          <w:numId w:val="2"/>
        </w:numPr>
        <w:spacing w:after="60"/>
      </w:pPr>
      <w:r>
        <w:rPr>
          <w:b/>
          <w:bCs/>
        </w:rPr>
        <w:t xml:space="preserve">`is_late = FALSE()` can let blanks in.</w:t>
      </w:r>
      <w:r>
        <w:t xml:space="preserve"> Undelivered orders have a blank </w:t>
      </w:r>
      <w:r>
        <w:rPr>
          <w:rFonts w:ascii="Consolas" w:cs="Consolas" w:eastAsia="Consolas" w:hAnsi="Consolas"/>
          <w:color w:val="7B2C2C"/>
          <w:sz w:val="19"/>
          <w:szCs w:val="19"/>
        </w:rPr>
        <w:t xml:space="preserve">is_late</w:t>
      </w:r>
      <w:r>
        <w:t xml:space="preserve">. Use </w:t>
      </w:r>
      <w:r>
        <w:rPr>
          <w:rFonts w:ascii="Consolas" w:cs="Consolas" w:eastAsia="Consolas" w:hAnsi="Consolas"/>
          <w:color w:val="7B2C2C"/>
          <w:sz w:val="19"/>
          <w:szCs w:val="19"/>
        </w:rPr>
        <w:t xml:space="preserve">FILTER</w:t>
      </w:r>
      <w:r>
        <w:t xml:space="preserve"> with </w:t>
      </w:r>
      <w:r>
        <w:rPr>
          <w:rFonts w:ascii="Consolas" w:cs="Consolas" w:eastAsia="Consolas" w:hAnsi="Consolas"/>
          <w:color w:val="7B2C2C"/>
          <w:sz w:val="19"/>
          <w:szCs w:val="19"/>
        </w:rPr>
        <w:t xml:space="preserve">NOT ISBLANK</w:t>
      </w:r>
      <w:r>
        <w:t xml:space="preserve"> to keep them out.</w:t>
      </w:r>
    </w:p>
    <w:p>
      <w:pPr>
        <w:pStyle w:val="ListParagraph"/>
        <w:numPr>
          <w:ilvl w:val="0"/>
          <w:numId w:val="2"/>
        </w:numPr>
        <w:spacing w:after="60"/>
      </w:pPr>
      <w:r>
        <w:rPr>
          <w:b/>
          <w:bCs/>
        </w:rPr>
        <w:t xml:space="preserve">The filter in `CALCULATE` must be a true/false test on a column.</w:t>
      </w:r>
      <w:r>
        <w:t xml:space="preserve"> A measure (a single number) cannot sit in that slot.</w:t>
      </w:r>
    </w:p>
    <w:p>
      <w:pPr>
        <w:pStyle w:val="ListParagraph"/>
        <w:numPr>
          <w:ilvl w:val="0"/>
          <w:numId w:val="2"/>
        </w:numPr>
        <w:spacing w:after="60"/>
      </w:pPr>
      <w:r>
        <w:rPr>
          <w:b/>
          <w:bCs/>
        </w:rPr>
        <w:t xml:space="preserve">Counting the wrong table gives the wrong answer.</w:t>
      </w:r>
      <w:r>
        <w:t xml:space="preserve"> Counting </w:t>
      </w:r>
      <w:r>
        <w:rPr>
          <w:rFonts w:ascii="Consolas" w:cs="Consolas" w:eastAsia="Consolas" w:hAnsi="Consolas"/>
          <w:color w:val="7B2C2C"/>
          <w:sz w:val="19"/>
          <w:szCs w:val="19"/>
        </w:rPr>
        <w:t xml:space="preserve">fact_orders</w:t>
      </w:r>
      <w:r>
        <w:t xml:space="preserve"> while filtering </w:t>
      </w:r>
      <w:r>
        <w:rPr>
          <w:rFonts w:ascii="Consolas" w:cs="Consolas" w:eastAsia="Consolas" w:hAnsi="Consolas"/>
          <w:color w:val="7B2C2C"/>
          <w:sz w:val="19"/>
          <w:szCs w:val="19"/>
        </w:rPr>
        <w:t xml:space="preserve">fact_order_items</w:t>
      </w:r>
      <w:r>
        <w:t xml:space="preserve"> ignores the filter, because the two tables are not related. Keep the counted column and the filter in the same table.</w:t>
      </w:r>
    </w:p>
    <w:p>
      <w:pPr>
        <w:pStyle w:val="ListParagraph"/>
        <w:numPr>
          <w:ilvl w:val="0"/>
          <w:numId w:val="2"/>
        </w:numPr>
        <w:spacing w:after="60"/>
      </w:pPr>
      <w:r>
        <w:rPr>
          <w:b/>
          <w:bCs/>
        </w:rPr>
        <w:t xml:space="preserve">Renaming a measure rewrites dependent formulas.</w:t>
      </w:r>
      <w:r>
        <w:t xml:space="preserve"> A rename once left a measure pointing at the wrong formula and produced a share of 6,000%. After a rename, open each dependent measure and read it.</w:t>
      </w:r>
    </w:p>
    <w:p>
      <w:pPr>
        <w:pStyle w:val="ListParagraph"/>
        <w:numPr>
          <w:ilvl w:val="0"/>
          <w:numId w:val="2"/>
        </w:numPr>
        <w:spacing w:after="60"/>
      </w:pPr>
      <w:r>
        <w:rPr>
          <w:b/>
          <w:bCs/>
        </w:rPr>
        <w:t xml:space="preserve">Variable names cannot be reserved words.</w:t>
      </w:r>
      <w:r>
        <w:t xml:space="preserve"> </w:t>
      </w:r>
      <w:r>
        <w:rPr>
          <w:rFonts w:ascii="Consolas" w:cs="Consolas" w:eastAsia="Consolas" w:hAnsi="Consolas"/>
          <w:color w:val="7B2C2C"/>
          <w:sz w:val="19"/>
          <w:szCs w:val="19"/>
        </w:rPr>
        <w:t xml:space="preserve">TopCount</w:t>
      </w:r>
      <w:r>
        <w:t xml:space="preserve"> failed, so the variable is </w:t>
      </w:r>
      <w:r>
        <w:rPr>
          <w:rFonts w:ascii="Consolas" w:cs="Consolas" w:eastAsia="Consolas" w:hAnsi="Consolas"/>
          <w:color w:val="7B2C2C"/>
          <w:sz w:val="19"/>
          <w:szCs w:val="19"/>
        </w:rPr>
        <w:t xml:space="preserve">NumTopSellers</w:t>
      </w:r>
      <w:r>
        <w:t xml:space="preserve">.</w:t>
      </w:r>
    </w:p>
    <w:p>
      <w:pPr>
        <w:pStyle w:val="ListParagraph"/>
        <w:numPr>
          <w:ilvl w:val="0"/>
          <w:numId w:val="2"/>
        </w:numPr>
        <w:spacing w:after="60"/>
      </w:pPr>
      <w:r>
        <w:rPr>
          <w:b/>
          <w:bCs/>
        </w:rPr>
        <w:t xml:space="preserve">A line chart sorted by value instead of date.</w:t>
      </w:r>
      <w:r>
        <w:t xml:space="preserve"> Use </w:t>
      </w:r>
      <w:r>
        <w:rPr>
          <w:rFonts w:ascii="Consolas" w:cs="Consolas" w:eastAsia="Consolas" w:hAnsi="Consolas"/>
          <w:color w:val="7B2C2C"/>
          <w:sz w:val="19"/>
          <w:szCs w:val="19"/>
        </w:rPr>
        <w:t xml:space="preserve">...</w:t>
      </w:r>
      <w:r>
        <w:t xml:space="preserve"> &gt; </w:t>
      </w:r>
      <w:r>
        <w:rPr>
          <w:b/>
          <w:bCs/>
        </w:rPr>
        <w:t xml:space="preserve">Sort axis</w:t>
      </w:r>
      <w:r>
        <w:t xml:space="preserve"> &gt; </w:t>
      </w:r>
      <w:r>
        <w:rPr>
          <w:rFonts w:ascii="Consolas" w:cs="Consolas" w:eastAsia="Consolas" w:hAnsi="Consolas"/>
          <w:color w:val="7B2C2C"/>
          <w:sz w:val="19"/>
          <w:szCs w:val="19"/>
        </w:rPr>
        <w:t xml:space="preserve">year_month</w:t>
      </w:r>
      <w:r>
        <w:t xml:space="preserve"> &gt; </w:t>
      </w:r>
      <w:r>
        <w:rPr>
          <w:b/>
          <w:bCs/>
        </w:rPr>
        <w:t xml:space="preserve">Sort ascending</w:t>
      </w:r>
      <w:r>
        <w:t xml:space="preserve">.</w:t>
      </w:r>
    </w:p>
    <w:p>
      <w:pPr>
        <w:pStyle w:val="ListParagraph"/>
        <w:numPr>
          <w:ilvl w:val="0"/>
          <w:numId w:val="2"/>
        </w:numPr>
        <w:spacing w:after="60"/>
      </w:pPr>
      <w:r>
        <w:rPr>
          <w:b/>
          <w:bCs/>
        </w:rPr>
        <w:t xml:space="preserve">Cards show 13.18M.</w:t>
      </w:r>
      <w:r>
        <w:t xml:space="preserve"> That is display rounding. Set </w:t>
      </w:r>
      <w:r>
        <w:rPr>
          <w:b/>
          <w:bCs/>
        </w:rPr>
        <w:t xml:space="preserve">Display units</w:t>
      </w:r>
      <w:r>
        <w:t xml:space="preserve"> to </w:t>
      </w:r>
      <w:r>
        <w:rPr>
          <w:b/>
          <w:bCs/>
        </w:rPr>
        <w:t xml:space="preserve">None</w:t>
      </w:r>
      <w:r>
        <w:t xml:space="preserve">.</w:t>
      </w:r>
    </w:p>
    <w:p>
      <w:pPr>
        <w:pStyle w:val="ListParagraph"/>
        <w:numPr>
          <w:ilvl w:val="0"/>
          <w:numId w:val="2"/>
        </w:numPr>
        <w:spacing w:after="60"/>
      </w:pPr>
      <w:r>
        <w:rPr>
          <w:b/>
          <w:bCs/>
        </w:rPr>
        <w:t xml:space="preserve">Can't find Measure tools.</w:t>
      </w:r>
      <w:r>
        <w:t xml:space="preserve"> The tab only appears when a measure is selected in the Data pane.</w:t>
      </w:r>
    </w:p>
    <w:p>
      <w:pPr>
        <w:pStyle w:val="ListParagraph"/>
        <w:numPr>
          <w:ilvl w:val="0"/>
          <w:numId w:val="2"/>
        </w:numPr>
        <w:spacing w:after="60"/>
      </w:pPr>
      <w:r>
        <w:rPr>
          <w:b/>
          <w:bCs/>
        </w:rPr>
        <w:t xml:space="preserve">Theme file not found.</w:t>
      </w:r>
      <w:r>
        <w:t xml:space="preserve"> Download it to your computer first, then browse for it.</w:t>
      </w:r>
    </w:p>
    <w:p>
      <w:pPr>
        <w:pStyle w:val="Heading1"/>
      </w:pPr>
      <w:r>
        <w:t xml:space="preserve">7. Next steps</w:t>
      </w:r>
    </w:p>
    <w:p>
      <w:pPr>
        <w:pStyle w:val="ListParagraph"/>
        <w:numPr>
          <w:ilvl w:val="0"/>
          <w:numId w:val="7"/>
        </w:numPr>
        <w:spacing w:after="60"/>
      </w:pPr>
      <w:r>
        <w:t xml:space="preserve">Finish the visual styling (theme, headers, alignment).</w:t>
      </w:r>
    </w:p>
    <w:p>
      <w:pPr>
        <w:pStyle w:val="ListParagraph"/>
        <w:numPr>
          <w:ilvl w:val="0"/>
          <w:numId w:val="7"/>
        </w:numPr>
        <w:spacing w:after="60"/>
      </w:pPr>
      <w:r>
        <w:t xml:space="preserve">Take screenshots of each page for the README.</w:t>
      </w:r>
    </w:p>
    <w:p>
      <w:pPr>
        <w:pStyle w:val="ListParagraph"/>
        <w:numPr>
          <w:ilvl w:val="0"/>
          <w:numId w:val="7"/>
        </w:numPr>
        <w:spacing w:after="60"/>
      </w:pPr>
      <w:r>
        <w:t xml:space="preserve">Compile the SQL validation queries into one ordered script.</w:t>
      </w:r>
    </w:p>
    <w:p>
      <w:pPr>
        <w:pStyle w:val="ListParagraph"/>
        <w:numPr>
          <w:ilvl w:val="0"/>
          <w:numId w:val="7"/>
        </w:numPr>
        <w:spacing w:after="60"/>
      </w:pPr>
      <w:r>
        <w:t xml:space="preserve">Push </w:t>
      </w:r>
      <w:r>
        <w:rPr>
          <w:rFonts w:ascii="Consolas" w:cs="Consolas" w:eastAsia="Consolas" w:hAnsi="Consolas"/>
          <w:color w:val="7B2C2C"/>
          <w:sz w:val="19"/>
          <w:szCs w:val="19"/>
        </w:rPr>
        <w:t xml:space="preserve">sql/</w:t>
      </w:r>
      <w:r>
        <w:t xml:space="preserve">, </w:t>
      </w:r>
      <w:r>
        <w:rPr>
          <w:rFonts w:ascii="Consolas" w:cs="Consolas" w:eastAsia="Consolas" w:hAnsi="Consolas"/>
          <w:color w:val="7B2C2C"/>
          <w:sz w:val="19"/>
          <w:szCs w:val="19"/>
        </w:rPr>
        <w:t xml:space="preserve">powerbi/</w:t>
      </w:r>
      <w:r>
        <w:t xml:space="preserve">, </w:t>
      </w:r>
      <w:r>
        <w:rPr>
          <w:rFonts w:ascii="Consolas" w:cs="Consolas" w:eastAsia="Consolas" w:hAnsi="Consolas"/>
          <w:color w:val="7B2C2C"/>
          <w:sz w:val="19"/>
          <w:szCs w:val="19"/>
        </w:rPr>
        <w:t xml:space="preserve">docs/</w:t>
      </w:r>
      <w:r>
        <w:t xml:space="preserve"> and the README to GitHub.</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7"/>
        <w:szCs w:val="17"/>
      </w:rPr>
      <w:t xml:space="preserve">Olist Brazilian E-commerce Portfolio Project SOP: Power 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rFonts w:ascii="Calibri" w:cs="Calibri" w:eastAsia="Calibri" w:hAnsi="Calibri"/>
      <w:b/>
      <w:bCs/>
      <w:color w:val="112145"/>
      <w:sz w:val="32"/>
      <w:szCs w:val="32"/>
    </w:rPr>
  </w:style>
  <w:style w:type="paragraph" w:styleId="Heading2">
    <w:name w:val="Heading 2"/>
    <w:basedOn w:val="Normal"/>
    <w:next w:val="Normal"/>
    <w:qFormat/>
    <w:pPr>
      <w:keepNext/>
      <w:keepLines/>
      <w:spacing w:after="120" w:before="280"/>
      <w:outlineLvl w:val="1"/>
    </w:pPr>
    <w:rPr>
      <w:rFonts w:ascii="Calibri" w:cs="Calibri" w:eastAsia="Calibri" w:hAnsi="Calibri"/>
      <w:b/>
      <w:bCs/>
      <w:color w:val="15579E"/>
      <w:sz w:val="26"/>
      <w:szCs w:val="26"/>
    </w:rPr>
  </w:style>
  <w:style w:type="paragraph" w:styleId="Heading3">
    <w:name w:val="Heading 3"/>
    <w:basedOn w:val="Normal"/>
    <w:next w:val="Normal"/>
    <w:qFormat/>
    <w:pPr>
      <w:keepNext/>
      <w:keepLines/>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Olist Brazilian E-commerce Portfolio Project SOP: Power BI</dc:title>
  <dc:creator>Sibongile Seale</dc:creator>
  <cp:lastModifiedBy>Un-named</cp:lastModifiedBy>
  <cp:revision>1</cp:revision>
  <dcterms:created xsi:type="dcterms:W3CDTF">2026-10-17T07:35:28.226Z</dcterms:created>
  <dcterms:modified xsi:type="dcterms:W3CDTF">2026-10-17T07:35:28.226Z</dcterms:modified>
</cp:coreProperties>
</file>

<file path=docProps/custom.xml><?xml version="1.0" encoding="utf-8"?>
<Properties xmlns="http://schemas.openxmlformats.org/officeDocument/2006/custom-properties" xmlns:vt="http://schemas.openxmlformats.org/officeDocument/2006/docPropsVTypes"/>
</file>