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240"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МИНИСТЕРСТВО НАУКИ И ВЫСШЕГО ОБРАЗОВАНИЯ</w:t>
      </w:r>
      <w:r>
        <w:rPr>
          <w:rFonts w:eastAsia="Times New Roman"/>
          <w:color w:val="000000"/>
          <w:szCs w:val="28"/>
        </w:rPr>
        <w:br/>
        <w:t xml:space="preserve">РОССИЙСКОЙ ФЕДЕРАЦИИ</w:t>
      </w:r>
      <w:r>
        <w:rPr>
          <w:rFonts w:eastAsia="Times New Roman"/>
          <w:bCs/>
          <w:color w:val="000000"/>
          <w:szCs w:val="28"/>
        </w:rPr>
        <w:t xml:space="preserve"> 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bCs/>
          <w:color w:val="000000"/>
          <w:szCs w:val="28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  <w:szCs w:val="28"/>
        </w:rPr>
        <w:br/>
        <w:t xml:space="preserve">образовательное учреждение высшего образования</w:t>
      </w: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bCs/>
          <w:color w:val="000000"/>
          <w:szCs w:val="28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  <w:szCs w:val="28"/>
        </w:rPr>
        <w:br/>
        <w:t xml:space="preserve">имени академика С.П. Королева»</w:t>
      </w:r>
      <w:r>
        <w:rPr>
          <w:rFonts w:eastAsia="Times New Roman"/>
          <w:bCs/>
          <w:color w:val="000000"/>
          <w:szCs w:val="28"/>
        </w:rPr>
      </w:r>
      <w:r>
        <w:rPr>
          <w:rFonts w:eastAsia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(Самарский университет)</w:t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  <w:r>
        <w:rPr>
          <w:rFonts w:eastAsia="Times New Roman" w:cs="Times New Roman"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Bdr/>
        <w:shd w:val="clear" w:color="auto" w:fill="ffffff"/>
        <w:spacing w:line="240" w:lineRule="auto"/>
        <w:ind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  <w:r>
        <w:rPr>
          <w:rFonts w:eastAsia="Times New Roman" w:cs="Times New Roman"/>
          <w:bCs/>
          <w:color w:val="000000"/>
          <w:szCs w:val="28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Отчет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выполнении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контрольной точки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курсу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«Проектирование программных комплексов»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Абельдинов 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Казаков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Маъруфжонов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Ненашев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Сибряев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Е.В.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56"/>
        <w:pBdr/>
        <w:tabs>
          <w:tab w:val="left" w:leader="none" w:pos="0"/>
          <w:tab w:val="left" w:leader="none" w:pos="5490"/>
        </w:tabs>
        <w:spacing w:line="360" w:lineRule="auto"/>
        <w:ind w:right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010402D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Старыгин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В.А.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956"/>
        <w:pBdr/>
        <w:tabs>
          <w:tab w:val="left" w:leader="none" w:pos="0"/>
        </w:tabs>
        <w:spacing w:line="360" w:lineRule="auto"/>
        <w:ind w:right="2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Самара 202</w:t>
      </w:r>
      <w:r>
        <w:rPr>
          <w:rFonts w:cs="Times New Roman"/>
          <w:szCs w:val="28"/>
        </w:rPr>
        <w:t xml:space="preserve">6</w:t>
        <w:br w:type="page" w:clear="all"/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61"/>
        <w:numPr>
          <w:ilvl w:val="0"/>
          <w:numId w:val="28"/>
        </w:numPr>
        <w:pBdr/>
        <w:spacing w:after="0" w:line="360" w:lineRule="auto"/>
        <w:ind w:firstLine="349"/>
        <w:rPr>
          <w:b/>
        </w:rPr>
      </w:pPr>
      <w:r>
        <w:rPr>
          <w:b/>
        </w:rPr>
        <w:t xml:space="preserve">Описание программного средства (ПС)</w:t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Рассматриваемая предметная область – амбулаторный приём пациента в медицинском центре. </w:t>
      </w:r>
      <w:r>
        <w:rPr>
          <w:b w:val="0"/>
          <w:bCs w:val="0"/>
          <w:highlight w:val="none"/>
        </w:rPr>
        <w:t xml:space="preserve">За один короткий приём врачу нужно опросить пациента, получить показания диагностических приборов, во</w:t>
      </w:r>
      <w:r>
        <w:rPr>
          <w:b w:val="0"/>
          <w:bCs w:val="0"/>
          <w:highlight w:val="none"/>
        </w:rPr>
        <w:t xml:space="preserve">сстановить историю болезни, сопоставить всё с медицинской базой и назначить лечение. Исходя из этого, сформулирована следующая проблема: данные разнородны и приходят из разных источников, а рутинный поиск и сопоставление информации отнимает время приёма и </w:t>
      </w:r>
      <w:r>
        <w:rPr>
          <w:b w:val="0"/>
          <w:bCs w:val="0"/>
          <w:highlight w:val="none"/>
        </w:rPr>
        <w:t xml:space="preserve">повышает риск ошибок.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  <w:t xml:space="preserve">Предлагаемое ПС – система поддержки принятия врачебных решений (СППР) «МедЭксперт». Пользователем данного средства является врач. ПС берёт на себя сбор и структурирование данных обследования (например, сведения о пациенте, показания с приборов и</w:t>
      </w:r>
      <w:r>
        <w:rPr>
          <w:b w:val="0"/>
          <w:bCs w:val="0"/>
          <w:highlight w:val="none"/>
        </w:rPr>
        <w:t xml:space="preserve"> введенные врачом), их анализ, формирование гипотез на основе истории болезни и базы схожих обезличенных случаев, а также подготовку проекта плана лечения с назначениями. Финальное решение принимает врач, работающий через АРМ, на основе полученных данных.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  <w:tab/>
      </w:r>
      <w:r>
        <w:rPr>
          <w:b w:val="0"/>
          <w:bCs w:val="0"/>
          <w:highlight w:val="none"/>
          <w:lang w:val="ru-RU"/>
        </w:rPr>
        <w:t xml:space="preserve">Были определены следующие ограничения для ПС: она не осуществляет запись на приём, расчёт оплаты, управление приборами и диалог с пациентом, а также не ставит диагноз и не назначает лечение без решения врача.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Архитектура является клиент-серверной: на каждого врача приходится по одному клиенту, а серверная часть состоит из трех модулей: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29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Обследование – оформление карты пациента из внешней МИС и показаний в единый документ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29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Диагностика – анализ полученного документа и формировани</w:t>
      </w:r>
      <w:r>
        <w:rPr>
          <w:b w:val="0"/>
          <w:bCs w:val="0"/>
          <w:highlight w:val="none"/>
        </w:rPr>
        <w:t xml:space="preserve">е рейтинга диагностических гипотез</w:t>
      </w:r>
      <w:r>
        <w:rPr>
          <w:b w:val="0"/>
          <w:bCs w:val="0"/>
          <w:highlight w:val="none"/>
          <w:lang w:val="ru-RU"/>
        </w:rPr>
        <w:t xml:space="preserve"> с возможностью подтверждения врачом одной гипотезы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29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ru-RU"/>
        </w:rPr>
        <w:t xml:space="preserve">Лечение – подготовка плана лечения по подтверждённому диагнозу</w:t>
      </w:r>
      <w:r>
        <w:rPr>
          <w:b w:val="0"/>
          <w:bCs w:val="0"/>
          <w:highlight w:val="none"/>
          <w:lang w:val="ru-RU"/>
        </w:rPr>
        <w:t xml:space="preserve"> с возможностью корректировки и последующим утверждением врачом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28"/>
        </w:numPr>
        <w:pBdr/>
        <w:spacing w:after="0" w:line="360" w:lineRule="auto"/>
        <w:ind w:firstLine="349"/>
        <w:rPr>
          <w:b/>
        </w:rPr>
      </w:pPr>
      <w:r>
        <w:rPr>
          <w:b/>
        </w:rPr>
        <w:t xml:space="preserve">Цель и задачи разработки</w:t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/>
          <w:highlight w:val="none"/>
        </w:rPr>
        <w:tab/>
      </w:r>
      <w:r>
        <w:rPr>
          <w:b w:val="0"/>
          <w:bCs w:val="0"/>
          <w:highlight w:val="none"/>
        </w:rPr>
        <w:t xml:space="preserve">Цель: в течение 6 месяцев после внедрения ПС «МедЭксперт» сократить время подготовки данных обследования к анализу, повысить долю случаев, в которых диагноз устанавливается за одно посещение и обеспечить полную электронную фиксацию результатов приёма.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Обоснование цели по критериям </w:t>
      </w:r>
      <w:r>
        <w:rPr>
          <w:b w:val="0"/>
          <w:bCs w:val="0"/>
          <w:highlight w:val="none"/>
          <w:lang w:val="en-US"/>
        </w:rPr>
        <w:t xml:space="preserve">SMART: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Style w:val="961"/>
        <w:numPr>
          <w:ilvl w:val="0"/>
          <w:numId w:val="30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S – </w:t>
      </w:r>
      <w:r>
        <w:rPr>
          <w:b w:val="0"/>
          <w:bCs w:val="0"/>
          <w:highlight w:val="none"/>
          <w:lang w:val="ru-RU"/>
        </w:rPr>
        <w:t xml:space="preserve">конкретность: автоматизировать подготовку данных обследования (сбор и структурирование) и плана лечения и формирование рейтинга гипотез для врачебных решений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30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M – </w:t>
      </w:r>
      <w:r>
        <w:rPr>
          <w:b w:val="0"/>
          <w:bCs w:val="0"/>
          <w:highlight w:val="none"/>
          <w:lang w:val="ru-RU"/>
        </w:rPr>
        <w:t xml:space="preserve">измеримость: сократить время подготовки данных обследования к анализу с 15 минут до 5 минут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повысить долю приёмов, на которых предварительный диагноз сформулирован за один визит с 60% до 8%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достичь фиксации обследований, диагнозов и назначений в электронной базе данных в 100%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30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A – </w:t>
      </w:r>
      <w:r>
        <w:rPr>
          <w:b w:val="0"/>
          <w:bCs w:val="0"/>
          <w:highlight w:val="none"/>
          <w:lang w:val="ru-RU"/>
        </w:rPr>
        <w:t xml:space="preserve">достижимость: реализовать ПС в виде клиент-серверной системы с использованием справочных данных из внешней МИС без разработки медицинских алгоритмов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30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R – </w:t>
      </w:r>
      <w:r>
        <w:rPr>
          <w:b w:val="0"/>
          <w:bCs w:val="0"/>
          <w:highlight w:val="none"/>
          <w:lang w:val="ru-RU"/>
        </w:rPr>
        <w:t xml:space="preserve">значимость: автоматизация рутинного поиска и сопоставления разнородных данных для высвобождения времени врача на анализ и принятие решений с понижением риска ошибок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61"/>
        <w:numPr>
          <w:ilvl w:val="0"/>
          <w:numId w:val="30"/>
        </w:num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en-US"/>
        </w:rPr>
        <w:t xml:space="preserve">T – </w:t>
      </w:r>
      <w:r>
        <w:rPr>
          <w:b w:val="0"/>
          <w:bCs w:val="0"/>
          <w:highlight w:val="none"/>
          <w:lang w:val="ru-RU"/>
        </w:rPr>
        <w:t xml:space="preserve">ограниченность во времени: срок достижения показателей - 6 месяцев после внедрения.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Для достижения цели были сформулированы следующие задачи: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1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Разработать клиентскую часть – АРМ врача с возможностью ввода данных приёма (данные пациента и показаний), отображение результатов (диагноз, план лечения)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1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Разработать серверные модули обработки: модуль регистрации для запроса карты во внешней МИС и оформления обследования, модуль диагностики для формирования рейтинга диагностических гипотез, модуль лечения для составления плана лечения.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1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Обеспечить обмен данными с внешней МИС (медкарты пациентов, схожие обезличенные случаи).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1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Обеспечить локальное хранение результатов приёмов с защитой персональных данных согласно закону 152-ФЗ.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28"/>
        </w:numPr>
        <w:pBdr/>
        <w:spacing w:after="0" w:line="360" w:lineRule="auto"/>
        <w:ind w:firstLine="349"/>
        <w:rPr>
          <w:b/>
        </w:rPr>
      </w:pPr>
      <w:r>
        <w:rPr>
          <w:b/>
        </w:rPr>
        <w:t xml:space="preserve">Проектирование модели</w:t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/>
          <w:highlight w:val="none"/>
        </w:rPr>
      </w:r>
      <w:r>
        <w:rPr>
          <w:b w:val="0"/>
          <w:bCs w:val="0"/>
        </w:rPr>
        <w:t xml:space="preserve">Таблица 1 – Управляющие сущности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978"/>
        <w:tblW w:w="0" w:type="auto"/>
        <w:tblBorders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  <w:t xml:space="preserve">№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Сущность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Тип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Роль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У1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Врач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Клиентский модуль АРМ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Ввод данных приёма, подтверждение диагноза, утверждение плана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У2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Внешняя МИС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Внешняя сущность 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Поставка медкарт пациентов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У3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Модуль регистрации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Серверный модуль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Оформление обследования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У4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Модуль диагностики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Серверный модуль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Формирование диагноза 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У5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Модуль лечения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Серверный модуль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</w:rPr>
              <w:t xml:space="preserve">Дополнение обследования лечением</w:t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</w:rPr>
            </w:r>
          </w:p>
        </w:tc>
      </w:tr>
    </w:tbl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Таблица 2 – Управляемые сущности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tbl>
      <w:tblPr>
        <w:tblStyle w:val="978"/>
        <w:tblW w:w="0" w:type="auto"/>
        <w:tblBorders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№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  <w:t xml:space="preserve">Сущность 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Атрибуты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Пояснение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С1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Данные пациента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ФИО, дата рождения, номер полиса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Разовый ввод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С2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Медкарта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Анкетные данные, хронические заболевания, аллергии, прошлые диагнозы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Находится в МИС, система только читает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С3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Показание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Источник, показатель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en-US"/>
              </w:rPr>
              <w:t xml:space="preserve">/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  <w:t xml:space="preserve">симптом, значение, единицы, флаг отклонения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Обобщённые показания приборов, в том числе врача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С4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Предварительный диагноз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Название болезни, обоснование, уверенность, статус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Рейтинг гипотез состоит из списка гипотез с статусом «Предложен»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С5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Обследование 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Дата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en-US"/>
              </w:rPr>
              <w:t xml:space="preserve">/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  <w:t xml:space="preserve">время, статус, заключение, назначения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Итоговый документ приёма. Оформляется и дополняется.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С6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План лечения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  <w:t xml:space="preserve">Методика, назначения, срок, рекомендации, статус, рецепт</w:t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pPr>
            <w:r>
              <w:rPr>
                <w:b w:val="0"/>
                <w:bCs w:val="0"/>
                <w:sz w:val="22"/>
                <w:szCs w:val="18"/>
                <w:highlight w:val="none"/>
                <w:lang w:val="ru-RU" w:bidi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  <w:r>
              <w:rPr>
                <w:b w:val="0"/>
                <w:bCs w:val="0"/>
                <w:sz w:val="22"/>
                <w:szCs w:val="18"/>
                <w:highlight w:val="none"/>
                <w:lang w:val="ru-RU"/>
              </w:rPr>
            </w:r>
          </w:p>
        </w:tc>
      </w:tr>
    </w:tbl>
    <w:p>
      <w:pPr>
        <w:pBdr/>
        <w:spacing w:after="0" w:line="360" w:lineRule="auto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Предложено следующее описание связей управляющих: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У1 Врач: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2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Вводит данные пациента (С1),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2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Фиксирует показание (С3),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2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Подтверждает предварительный диагноз (С4),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2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Просматривает обследование (С5),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2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Утверждает план лечения (С6).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У2 Внешняя МИС: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3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Поставляет медкарты (С2).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У3 Модуль регистрации (А1):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4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Получает данные пациента (С1),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4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Запрашивает медкарту (С2),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4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Оформляет обследование (С5).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У4 Модуль диагностики (А2):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5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Считывает показание (С3),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5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Принимает медкарту (С2),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5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Формирует предварительный диагноз (С4).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У5 Модуль лечения (А3):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6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Использует предварительный диагноз (С4),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6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Составляет план лечения (С6),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36"/>
        </w:num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Дополняет обследование (С5).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Сформулированы агрегации</w:t>
      </w:r>
      <w:r>
        <w:rPr>
          <w:b w:val="0"/>
          <w:bCs w:val="0"/>
          <w:highlight w:val="none"/>
          <w:lang w:val="ru-RU" w:bidi="ru-RU"/>
        </w:rPr>
        <w:t xml:space="preserve">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7"/>
        </w:num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Обследование (С5) содержит предварительный диагноз (С4),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Style w:val="961"/>
        <w:numPr>
          <w:ilvl w:val="0"/>
          <w:numId w:val="37"/>
        </w:num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Обследование (С5) включает план лечения (С6).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Также представлена цепочка событий по этапам работы серверных модулей предложенной ПС при его использовании: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А1: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 w:bidi="ru-RU"/>
        </w:rPr>
        <w:t xml:space="preserve">У1 вводит С1</w:t>
      </w:r>
      <w:r>
        <w:rPr>
          <w:b w:val="0"/>
          <w:bCs w:val="0"/>
          <w:highlight w:val="none"/>
          <w:lang w:val="en-US"/>
        </w:rPr>
        <w:t xml:space="preserve">; </w:t>
      </w:r>
      <w:r>
        <w:rPr>
          <w:b w:val="0"/>
          <w:bCs w:val="0"/>
          <w:highlight w:val="none"/>
          <w:lang w:val="ru-RU"/>
        </w:rPr>
        <w:t xml:space="preserve">С1 получает У3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У2 поставляет С2</w:t>
      </w:r>
      <w:r>
        <w:rPr>
          <w:b w:val="0"/>
          <w:bCs w:val="0"/>
          <w:highlight w:val="none"/>
          <w:lang w:val="ru-RU"/>
        </w:rPr>
        <w:t xml:space="preserve">, У3 запрашивает С2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У1 фиксирует С3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У3 оформляет С5</w:t>
      </w:r>
      <w:r>
        <w:rPr>
          <w:b w:val="0"/>
          <w:bCs w:val="0"/>
          <w:highlight w:val="none"/>
          <w:lang w:val="en-US"/>
        </w:rPr>
        <w:t xml:space="preserve">.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A2</w:t>
      </w:r>
      <w:r>
        <w:rPr>
          <w:b w:val="0"/>
          <w:bCs w:val="0"/>
          <w:highlight w:val="none"/>
          <w:lang w:val="en-US"/>
        </w:rPr>
        <w:t xml:space="preserve">: </w:t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У4 считывает С3</w:t>
      </w:r>
      <w:r>
        <w:rPr>
          <w:b w:val="0"/>
          <w:bCs w:val="0"/>
          <w:highlight w:val="none"/>
          <w:lang w:val="ru-RU" w:bidi="ru-RU"/>
        </w:rPr>
        <w:t xml:space="preserve">, принимает С2, формирует С4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У1 подтверждает С4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А3:</w: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У5 использует С4, составляет С6, дополняет С5</w:t>
      </w:r>
      <w:r>
        <w:rPr>
          <w:b w:val="0"/>
          <w:bCs w:val="0"/>
          <w:highlight w:val="none"/>
          <w:lang w:val="en-US"/>
        </w:rPr>
        <w:t xml:space="preserve">;</w:t>
      </w:r>
      <w:r>
        <w:rPr>
          <w:b w:val="0"/>
          <w:bCs w:val="0"/>
          <w:highlight w:val="none"/>
          <w:lang w:val="ru-RU"/>
        </w:rPr>
        <w:t xml:space="preserve"> У1 утверждает С6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 w:after="0"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61"/>
        <w:numPr>
          <w:ilvl w:val="0"/>
          <w:numId w:val="28"/>
        </w:numPr>
        <w:pBdr/>
        <w:spacing w:after="0" w:line="360" w:lineRule="auto"/>
        <w:ind w:firstLine="349"/>
        <w:rPr>
          <w:b/>
          <w:bCs/>
        </w:rPr>
      </w:pPr>
      <w:r>
        <w:rPr>
          <w:b/>
          <w:highlight w:val="none"/>
        </w:rPr>
        <w:t xml:space="preserve">Диаграмма </w:t>
      </w:r>
      <w:r>
        <w:rPr>
          <w:b/>
          <w:highlight w:val="none"/>
          <w:lang w:val="en-US"/>
        </w:rPr>
        <w:t xml:space="preserve">PDOM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360" w:lineRule="auto"/>
        <w:ind w:firstLine="0" w:left="0"/>
        <w:rPr>
          <w:b w:val="0"/>
          <w:bCs w:val="0"/>
        </w:rPr>
      </w:pPr>
      <w:r>
        <w:rPr>
          <w:b/>
          <w:highlight w:val="none"/>
          <w:lang w:val="en-US"/>
        </w:rPr>
        <w:tab/>
      </w:r>
      <w:r>
        <w:rPr>
          <w:b w:val="0"/>
          <w:bCs w:val="0"/>
          <w:highlight w:val="none"/>
          <w:lang w:val="ru-RU"/>
        </w:rPr>
        <w:t xml:space="preserve">На рисунке 1 представлена диаграмма </w:t>
      </w:r>
      <w:r>
        <w:rPr>
          <w:b w:val="0"/>
          <w:bCs w:val="0"/>
          <w:highlight w:val="none"/>
          <w:lang w:val="en-US"/>
        </w:rPr>
        <w:t xml:space="preserve">PDOM</w:t>
      </w:r>
      <w:r>
        <w:rPr>
          <w:b w:val="0"/>
          <w:bCs w:val="0"/>
          <w:highlight w:val="none"/>
          <w:lang w:val="ru-RU"/>
        </w:rPr>
        <w:t xml:space="preserve">, разработанная на основе спроектированной модели.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/>
        <w:jc w:val="center"/>
        <w:rPr>
          <w:b/>
          <w:bCs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32807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839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19493" cy="3280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5pt;height:258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Style w:val="961"/>
        <w:pBdr/>
        <w:spacing w:before="240"/>
        <w:ind w:left="36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Рисунок 1 – </w:t>
      </w:r>
      <w:r>
        <w:rPr>
          <w:rFonts w:eastAsia="Times New Roman"/>
          <w:color w:val="000000"/>
          <w:szCs w:val="28"/>
        </w:rPr>
        <w:t xml:space="preserve">PDOM</w:t>
      </w:r>
      <w:r>
        <w:rPr>
          <w:rFonts w:eastAsia="Times New Roman"/>
          <w:color w:val="000000"/>
          <w:szCs w:val="28"/>
        </w:rPr>
        <w:t xml:space="preserve"> диаграмма</w:t>
      </w:r>
      <w:r>
        <w:rPr>
          <w:rFonts w:eastAsia="Times New Roman"/>
          <w:color w:val="000000"/>
          <w:szCs w:val="28"/>
        </w:rPr>
      </w:r>
      <w:r>
        <w:rPr>
          <w:rFonts w:eastAsia="Times New Roman"/>
          <w:color w:val="000000"/>
          <w:szCs w:val="28"/>
        </w:rPr>
      </w:r>
      <w:r/>
      <w:r/>
      <w:r>
        <w:rPr>
          <w:rFonts w:eastAsia="Times New Roman"/>
          <w:color w:val="000000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418" w:header="397" w:footer="39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Noto Sans Symbols">
    <w:panose1 w:val="05040102010807070707"/>
  </w:font>
  <w:font w:name="Courier New">
    <w:panose1 w:val="02070409020205020404"/>
  </w:font>
  <w:font w:name="Times New Roman CYR">
    <w:panose1 w:val="05040102010807070707"/>
  </w:font>
  <w:font w:name="TimesET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23591231"/>
      <w:docPartObj>
        <w:docPartGallery w:val="Page Numbers (Bottom of Page)"/>
        <w:docPartUnique w:val="true"/>
      </w:docPartObj>
      <w:rPr/>
    </w:sdtPr>
    <w:sdtContent>
      <w:p>
        <w:pPr>
          <w:pStyle w:val="964"/>
          <w:pBdr/>
          <w:spacing/>
          <w:ind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PAGE   \* MERGEFORMAT</w:instrText>
        </w:r>
        <w:r>
          <w:rPr>
            <w:sz w:val="22"/>
          </w:rPr>
          <w:fldChar w:fldCharType="separate"/>
        </w:r>
        <w:r>
          <w:rPr>
            <w:sz w:val="22"/>
          </w:rPr>
          <w:t xml:space="preserve">6</w:t>
        </w:r>
        <w:r>
          <w:rPr>
            <w:sz w:val="22"/>
          </w:rPr>
          <w:fldChar w:fldCharType="end"/>
        </w:r>
        <w:r>
          <w:rPr>
            <w:sz w:val="22"/>
          </w:rPr>
        </w:r>
        <w:r>
          <w:rPr>
            <w:sz w:val="22"/>
          </w:rPr>
        </w:r>
      </w:p>
    </w:sdtContent>
  </w:sdt>
  <w:p>
    <w:pPr>
      <w:pStyle w:val="9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677D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120922A0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1A642C8A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CF5156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295E3A6C"/>
    <w:lvl w:ilvl="0">
      <w:isLgl w:val="false"/>
      <w:lvlJc w:val="left"/>
      <w:lvlText w:val="%1."/>
      <w:numFmt w:val="decimal"/>
      <w:pPr>
        <w:pBdr/>
        <w:tabs>
          <w:tab w:val="num" w:leader="none" w:pos="450"/>
        </w:tabs>
        <w:spacing/>
        <w:ind w:hanging="450" w:left="45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287"/>
        </w:tabs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854"/>
        </w:tabs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781"/>
        </w:tabs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348"/>
        </w:tabs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4275"/>
        </w:tabs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842"/>
        </w:tabs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769"/>
        </w:tabs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336"/>
        </w:tabs>
        <w:spacing/>
        <w:ind w:hanging="1800" w:left="6336"/>
      </w:pPr>
      <w:rPr>
        <w:rFonts w:hint="default"/>
      </w:rPr>
      <w:start w:val="1"/>
      <w:suff w:val="tab"/>
    </w:lvl>
  </w:abstractNum>
  <w:abstractNum w:abstractNumId="5">
    <w:nsid w:val="43C21D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824597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nsid w:val="4B571A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CD307D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">
    <w:nsid w:val="4E746B62"/>
    <w:lvl w:ilvl="0">
      <w:isLgl w:val="false"/>
      <w:lvlJc w:val="left"/>
      <w:lvlText w:val="%1."/>
      <w:numFmt w:val="decimal"/>
      <w:pPr>
        <w:pBdr/>
        <w:tabs>
          <w:tab w:val="num" w:leader="none" w:pos="2145"/>
        </w:tabs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2577"/>
        </w:tabs>
        <w:spacing/>
        <w:ind w:hanging="432" w:left="257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3225"/>
        </w:tabs>
        <w:spacing/>
        <w:ind w:hanging="504" w:left="3009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945"/>
        </w:tabs>
        <w:spacing/>
        <w:ind w:hanging="648" w:left="3513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305"/>
        </w:tabs>
        <w:spacing/>
        <w:ind w:hanging="792" w:left="4017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025"/>
        </w:tabs>
        <w:spacing/>
        <w:ind w:hanging="936" w:left="4521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5385"/>
        </w:tabs>
        <w:spacing/>
        <w:ind w:hanging="1080" w:left="5025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6105"/>
        </w:tabs>
        <w:spacing/>
        <w:ind w:hanging="1224" w:left="552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825"/>
        </w:tabs>
        <w:spacing/>
        <w:ind w:hanging="1440" w:left="6105"/>
      </w:pPr>
      <w:rPr>
        <w:rFonts w:hint="default"/>
      </w:rPr>
      <w:start w:val="1"/>
      <w:suff w:val="tab"/>
    </w:lvl>
  </w:abstractNum>
  <w:abstractNum w:abstractNumId="10">
    <w:nsid w:val="511C645E"/>
    <w:lvl w:ilvl="0">
      <w:isLgl w:val="false"/>
      <w:lvlJc w:val="left"/>
      <w:lvlText w:val="%1"/>
      <w:numFmt w:val="decimal"/>
      <w:pPr>
        <w:pBdr/>
        <w:spacing/>
        <w:ind w:hanging="360" w:left="1647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6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8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0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2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24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6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8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07"/>
      </w:pPr>
      <w:rPr/>
      <w:start w:val="1"/>
      <w:suff w:val="tab"/>
    </w:lvl>
  </w:abstractNum>
  <w:abstractNum w:abstractNumId="11">
    <w:nsid w:val="65D6028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7A316D87"/>
    <w:lvl w:ilvl="0">
      <w:isLgl w:val="false"/>
      <w:lvlJc w:val="left"/>
      <w:lvlText w:val="%1."/>
      <w:numFmt w:val="decimal"/>
      <w:pPr>
        <w:pBdr/>
        <w:spacing/>
        <w:ind w:hanging="360" w:left="214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5"/>
      </w:pPr>
      <w:rPr/>
      <w:start w:val="1"/>
      <w:suff w:val="tab"/>
    </w:lvl>
  </w:abstractNum>
  <w:abstractNum w:abstractNumId="14">
    <w:nsid w:val="7FF77DBE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E8899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1DE428E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128C7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86D82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BAFA5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B56B6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A7D48C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93B8B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6C1E7E2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4C07F8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3EB519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D3842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716B86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4E60A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29650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533B0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BEADB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3B8F3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7"/>
  </w:num>
  <w:num w:numId="7">
    <w:abstractNumId w:val="13"/>
  </w:num>
  <w:num w:numId="8">
    <w:abstractNumId w:val="11"/>
  </w:num>
  <w:num w:numId="9">
    <w:abstractNumId w:val="12"/>
  </w:num>
  <w:num w:numId="10">
    <w:abstractNumId w:val="2"/>
  </w:num>
  <w:num w:numId="11">
    <w:abstractNumId w:val="5"/>
  </w:num>
  <w:num w:numId="12">
    <w:abstractNumId w:val="8"/>
  </w:num>
  <w:num w:numId="13">
    <w:abstractNumId w:val="6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2">
    <w:name w:val="Table Grid Light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3"/>
    <w:basedOn w:val="950"/>
    <w:next w:val="950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8">
    <w:name w:val="Heading 4"/>
    <w:basedOn w:val="950"/>
    <w:next w:val="950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9">
    <w:name w:val="Heading 5"/>
    <w:basedOn w:val="950"/>
    <w:next w:val="950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0"/>
    <w:next w:val="950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0"/>
    <w:next w:val="950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0"/>
    <w:next w:val="950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0"/>
    <w:next w:val="950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1 Char"/>
    <w:basedOn w:val="953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5">
    <w:name w:val="Heading 2 Char"/>
    <w:basedOn w:val="953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6">
    <w:name w:val="Heading 3 Char"/>
    <w:basedOn w:val="95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7">
    <w:name w:val="Heading 4 Char"/>
    <w:basedOn w:val="953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53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53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53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5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53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Title"/>
    <w:basedOn w:val="950"/>
    <w:next w:val="950"/>
    <w:link w:val="9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Title Char"/>
    <w:basedOn w:val="953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5">
    <w:name w:val="Subtitle"/>
    <w:basedOn w:val="950"/>
    <w:next w:val="950"/>
    <w:link w:val="9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6">
    <w:name w:val="Subtitle Char"/>
    <w:basedOn w:val="953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7">
    <w:name w:val="Quote"/>
    <w:basedOn w:val="950"/>
    <w:next w:val="950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>
    <w:name w:val="Quote Char"/>
    <w:basedOn w:val="953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Intense Emphasis"/>
    <w:basedOn w:val="9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50"/>
    <w:next w:val="950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53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No Spacing"/>
    <w:basedOn w:val="950"/>
    <w:uiPriority w:val="1"/>
    <w:qFormat/>
    <w:pPr>
      <w:pBdr/>
      <w:spacing w:after="0" w:line="240" w:lineRule="auto"/>
      <w:ind/>
    </w:pPr>
  </w:style>
  <w:style w:type="character" w:styleId="924">
    <w:name w:val="Subtle Emphasis"/>
    <w:basedOn w:val="9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53"/>
    <w:uiPriority w:val="20"/>
    <w:qFormat/>
    <w:pPr>
      <w:pBdr/>
      <w:spacing/>
      <w:ind/>
    </w:pPr>
    <w:rPr>
      <w:i/>
      <w:iCs/>
    </w:rPr>
  </w:style>
  <w:style w:type="character" w:styleId="926">
    <w:name w:val="Subtle Reference"/>
    <w:basedOn w:val="9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7">
    <w:name w:val="Book Title"/>
    <w:basedOn w:val="95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8">
    <w:name w:val="Header Char"/>
    <w:basedOn w:val="953"/>
    <w:link w:val="962"/>
    <w:uiPriority w:val="99"/>
    <w:pPr>
      <w:pBdr/>
      <w:spacing/>
      <w:ind/>
    </w:pPr>
  </w:style>
  <w:style w:type="character" w:styleId="929">
    <w:name w:val="Footer Char"/>
    <w:basedOn w:val="953"/>
    <w:link w:val="964"/>
    <w:uiPriority w:val="99"/>
    <w:pPr>
      <w:pBdr/>
      <w:spacing/>
      <w:ind/>
    </w:pPr>
  </w:style>
  <w:style w:type="paragraph" w:styleId="930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0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53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0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53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FollowedHyperlink"/>
    <w:basedOn w:val="9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53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</w:style>
  <w:style w:type="paragraph" w:styleId="951">
    <w:name w:val="Heading 1"/>
    <w:basedOn w:val="950"/>
    <w:next w:val="950"/>
    <w:link w:val="959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eastAsia="Times New Roman" w:cs="Times New Roman"/>
      <w:b/>
      <w:caps/>
      <w:sz w:val="26"/>
      <w:szCs w:val="20"/>
      <w:lang w:eastAsia="ru-RU"/>
    </w:rPr>
  </w:style>
  <w:style w:type="paragraph" w:styleId="952">
    <w:name w:val="Heading 2"/>
    <w:basedOn w:val="950"/>
    <w:next w:val="950"/>
    <w:link w:val="960"/>
    <w:qFormat/>
    <w:pPr>
      <w:keepNext w:val="true"/>
      <w:keepLines w:val="true"/>
      <w:widowControl w:val="false"/>
      <w:pBdr/>
      <w:spacing w:after="120" w:before="360" w:line="360" w:lineRule="auto"/>
      <w:ind w:left="567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styleId="953" w:default="1">
    <w:name w:val="Default Paragraph Font"/>
    <w:uiPriority w:val="1"/>
    <w:semiHidden/>
    <w:unhideWhenUsed/>
    <w:pPr>
      <w:pBdr/>
      <w:spacing/>
      <w:ind/>
    </w:pPr>
  </w:style>
  <w:style w:type="table" w:styleId="9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5" w:default="1">
    <w:name w:val="No List"/>
    <w:uiPriority w:val="99"/>
    <w:semiHidden/>
    <w:unhideWhenUsed/>
    <w:pPr>
      <w:pBdr/>
      <w:spacing/>
      <w:ind/>
    </w:pPr>
  </w:style>
  <w:style w:type="paragraph" w:styleId="956">
    <w:name w:val="Body Text"/>
    <w:basedOn w:val="950"/>
    <w:link w:val="957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sz w:val="21"/>
      <w:szCs w:val="21"/>
      <w:lang w:val="en-US"/>
    </w:rPr>
  </w:style>
  <w:style w:type="character" w:styleId="957" w:customStyle="1">
    <w:name w:val="Основной текст Знак"/>
    <w:basedOn w:val="953"/>
    <w:link w:val="956"/>
    <w:uiPriority w:val="1"/>
    <w:pPr>
      <w:pBdr/>
      <w:spacing/>
      <w:ind/>
    </w:pPr>
    <w:rPr>
      <w:rFonts w:ascii="Arial" w:hAnsi="Arial" w:eastAsia="Arial" w:cs="Arial"/>
      <w:sz w:val="21"/>
      <w:szCs w:val="21"/>
      <w:lang w:val="en-US"/>
    </w:rPr>
  </w:style>
  <w:style w:type="paragraph" w:styleId="958" w:customStyle="1">
    <w:name w:val="Diser"/>
    <w:basedOn w:val="950"/>
    <w:pPr>
      <w:pBdr/>
      <w:spacing w:after="0" w:before="40" w:line="320" w:lineRule="atLeast"/>
      <w:ind w:firstLine="567"/>
      <w:jc w:val="both"/>
    </w:pPr>
    <w:rPr>
      <w:rFonts w:ascii="TimesET" w:hAnsi="TimesET" w:eastAsia="Times New Roman" w:cs="Times New Roman"/>
      <w:sz w:val="22"/>
      <w:szCs w:val="20"/>
      <w:lang w:eastAsia="ru-RU"/>
    </w:rPr>
  </w:style>
  <w:style w:type="character" w:styleId="959" w:customStyle="1">
    <w:name w:val="Заголовок 1 Знак"/>
    <w:basedOn w:val="953"/>
    <w:link w:val="951"/>
    <w:pPr>
      <w:pBdr/>
      <w:spacing/>
      <w:ind/>
    </w:pPr>
    <w:rPr>
      <w:rFonts w:eastAsia="Times New Roman" w:cs="Times New Roman"/>
      <w:b/>
      <w:caps/>
      <w:sz w:val="26"/>
      <w:szCs w:val="20"/>
      <w:lang w:eastAsia="ru-RU"/>
    </w:rPr>
  </w:style>
  <w:style w:type="character" w:styleId="960" w:customStyle="1">
    <w:name w:val="Заголовок 2 Знак"/>
    <w:basedOn w:val="953"/>
    <w:link w:val="952"/>
    <w:pPr>
      <w:pBdr/>
      <w:spacing/>
      <w:ind/>
    </w:pPr>
    <w:rPr>
      <w:rFonts w:eastAsia="Times New Roman" w:cs="Times New Roman"/>
      <w:b/>
      <w:sz w:val="26"/>
      <w:szCs w:val="20"/>
      <w:lang w:eastAsia="ru-RU"/>
    </w:rPr>
  </w:style>
  <w:style w:type="paragraph" w:styleId="961">
    <w:name w:val="List Paragraph"/>
    <w:basedOn w:val="950"/>
    <w:uiPriority w:val="34"/>
    <w:qFormat/>
    <w:pPr>
      <w:pBdr/>
      <w:spacing/>
      <w:ind w:left="720"/>
      <w:contextualSpacing w:val="true"/>
    </w:pPr>
  </w:style>
  <w:style w:type="paragraph" w:styleId="962">
    <w:name w:val="Header"/>
    <w:basedOn w:val="950"/>
    <w:link w:val="96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3" w:customStyle="1">
    <w:name w:val="Верхний колонтитул Знак"/>
    <w:basedOn w:val="953"/>
    <w:link w:val="962"/>
    <w:uiPriority w:val="99"/>
    <w:pPr>
      <w:pBdr/>
      <w:spacing/>
      <w:ind/>
    </w:pPr>
  </w:style>
  <w:style w:type="paragraph" w:styleId="964">
    <w:name w:val="Footer"/>
    <w:basedOn w:val="950"/>
    <w:link w:val="96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5" w:customStyle="1">
    <w:name w:val="Нижний колонтитул Знак"/>
    <w:basedOn w:val="953"/>
    <w:link w:val="964"/>
    <w:uiPriority w:val="99"/>
    <w:pPr>
      <w:pBdr/>
      <w:spacing/>
      <w:ind/>
    </w:pPr>
  </w:style>
  <w:style w:type="paragraph" w:styleId="966" w:customStyle="1">
    <w:name w:val="текст"/>
    <w:basedOn w:val="950"/>
    <w:pPr>
      <w:pBdr/>
      <w:spacing w:after="0" w:before="120" w:line="240" w:lineRule="auto"/>
      <w:ind w:firstLine="720"/>
      <w:jc w:val="both"/>
    </w:pPr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67">
    <w:name w:val="HTML Preformatted"/>
    <w:basedOn w:val="950"/>
    <w:link w:val="968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68" w:customStyle="1">
    <w:name w:val="Стандартный HTML Знак"/>
    <w:basedOn w:val="953"/>
    <w:link w:val="967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69">
    <w:name w:val="Hyperlink"/>
    <w:basedOn w:val="9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0" w:customStyle="1">
    <w:name w:val="Неразрешенное упоминание1"/>
    <w:basedOn w:val="95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71" w:customStyle="1">
    <w:name w:val="pl-k"/>
    <w:basedOn w:val="953"/>
    <w:pPr>
      <w:pBdr/>
      <w:spacing/>
      <w:ind/>
    </w:pPr>
  </w:style>
  <w:style w:type="character" w:styleId="972" w:customStyle="1">
    <w:name w:val="pl-s1"/>
    <w:basedOn w:val="953"/>
    <w:pPr>
      <w:pBdr/>
      <w:spacing/>
      <w:ind/>
    </w:pPr>
  </w:style>
  <w:style w:type="character" w:styleId="973" w:customStyle="1">
    <w:name w:val="pl-v"/>
    <w:basedOn w:val="953"/>
    <w:pPr>
      <w:pBdr/>
      <w:spacing/>
      <w:ind/>
    </w:pPr>
  </w:style>
  <w:style w:type="character" w:styleId="974" w:customStyle="1">
    <w:name w:val="pl-c"/>
    <w:basedOn w:val="953"/>
    <w:pPr>
      <w:pBdr/>
      <w:spacing/>
      <w:ind/>
    </w:pPr>
  </w:style>
  <w:style w:type="character" w:styleId="975" w:customStyle="1">
    <w:name w:val="pl-en"/>
    <w:basedOn w:val="953"/>
    <w:pPr>
      <w:pBdr/>
      <w:spacing/>
      <w:ind/>
    </w:pPr>
  </w:style>
  <w:style w:type="character" w:styleId="976" w:customStyle="1">
    <w:name w:val="pl-c1"/>
    <w:basedOn w:val="953"/>
    <w:pPr>
      <w:pBdr/>
      <w:spacing/>
      <w:ind/>
    </w:pPr>
  </w:style>
  <w:style w:type="character" w:styleId="977" w:customStyle="1">
    <w:name w:val="pl-s"/>
    <w:basedOn w:val="953"/>
    <w:pPr>
      <w:pBdr/>
      <w:spacing/>
      <w:ind/>
    </w:pPr>
  </w:style>
  <w:style w:type="table" w:styleId="978">
    <w:name w:val="Table Grid"/>
    <w:basedOn w:val="95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9">
    <w:name w:val="Normal (Web)"/>
    <w:basedOn w:val="950"/>
    <w:uiPriority w:val="99"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  <w:lang w:eastAsia="ru-RU"/>
    </w:rPr>
  </w:style>
  <w:style w:type="character" w:styleId="980">
    <w:name w:val="Strong"/>
    <w:basedOn w:val="95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Здорнов</dc:creator>
  <cp:keywords/>
  <dc:description/>
  <cp:revision>4</cp:revision>
  <dcterms:created xsi:type="dcterms:W3CDTF">2025-11-07T18:38:00Z</dcterms:created>
  <dcterms:modified xsi:type="dcterms:W3CDTF">2026-10-11T18:32:41Z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