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5"/>
        <w:pBdr/>
        <w:spacing/>
        <w:ind/>
        <w:jc w:val="both"/>
        <w:rPr>
          <w:highlight w:val="none"/>
        </w:rPr>
      </w:pPr>
      <w:r>
        <w:rPr>
          <w:rStyle w:val="875"/>
          <w:b/>
          <w:bCs/>
        </w:rPr>
        <w:t xml:space="preserve">Gestione delle VCC incassate in anticipo rispetto a data in</w:t>
      </w:r>
      <w:r>
        <w:rPr>
          <w:highlight w:val="none"/>
        </w:rPr>
      </w:r>
    </w:p>
    <w:p w14:paraId="60C60BCF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  <w:t xml:space="preserve">L’obiettivo del presente documento è la definizione dei </w:t>
      </w:r>
      <w:r>
        <w:rPr>
          <w:b/>
          <w:bCs/>
          <w:highlight w:val="none"/>
        </w:rPr>
        <w:t xml:space="preserve">requisiti funzionali</w:t>
      </w:r>
      <w:r>
        <w:rPr>
          <w:highlight w:val="none"/>
        </w:rPr>
        <w:t xml:space="preserve"> per lo sviluppo, </w:t>
      </w:r>
      <w:r>
        <w:rPr>
          <w:highlight w:val="none"/>
        </w:rPr>
        <w:t xml:space="preserve">in Platform (lato Admin)</w:t>
      </w:r>
      <w:r>
        <w:rPr>
          <w:highlight w:val="none"/>
        </w:rPr>
        <w:t xml:space="preserve">, di una pagina che consenta</w:t>
      </w:r>
      <w:r>
        <w:rPr>
          <w:highlight w:val="none"/>
        </w:rPr>
        <w:t xml:space="preserve"> ai colleghi dell’Amministrazione Sibylla il </w:t>
      </w:r>
      <w:r>
        <w:rPr>
          <w:highlight w:val="none"/>
          <w:u w:val="single"/>
        </w:rPr>
        <w:t xml:space="preserve">monitoraggio delle VCC incassate dalle strutture prima della data del check-in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4C25065">
      <w:pPr>
        <w:pBdr/>
        <w:spacing/>
        <w:ind/>
        <w:jc w:val="both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C5539B5">
      <w:pPr>
        <w:pStyle w:val="866"/>
        <w:pBdr/>
        <w:spacing/>
        <w:ind/>
        <w:jc w:val="both"/>
        <w:rPr>
          <w:rStyle w:val="876"/>
          <w:b/>
          <w:bCs/>
          <w:highlight w:val="none"/>
        </w:rPr>
      </w:pPr>
      <w:r>
        <w:rPr>
          <w:rStyle w:val="876"/>
          <w:b/>
          <w:bCs/>
        </w:rPr>
        <w:t xml:space="preserve">Requisito</w:t>
      </w:r>
      <w:r>
        <w:rPr>
          <w:b/>
          <w:bCs/>
          <w:highlight w:val="none"/>
        </w:rPr>
      </w:r>
      <w:r>
        <w:rPr>
          <w:rStyle w:val="876"/>
          <w:b/>
          <w:bCs/>
          <w:highlight w:val="none"/>
        </w:rPr>
      </w:r>
    </w:p>
    <w:p w14:paraId="3BCFA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jc w:val="both"/>
        <w:rPr/>
      </w:pPr>
      <w:r>
        <w:t xml:space="preserve">Attualmente le VCC vengono generate in automatico il giorno del check-in. Con l'introduzione de</w:t>
      </w:r>
      <w:r>
        <w:rPr>
          <w:u w:val="none"/>
        </w:rPr>
        <w:t xml:space="preserve">lla </w:t>
      </w:r>
      <w:r>
        <w:rPr>
          <w:u w:val="none"/>
        </w:rPr>
        <w:t xml:space="preserve">possibilità di crearle manualmente in qualsiasi momento</w:t>
      </w:r>
      <w:r>
        <w:rPr>
          <w:u w:val="none"/>
        </w:rPr>
        <w:t xml:space="preserve">, una str</w:t>
      </w:r>
      <w:r>
        <w:t xml:space="preserve">uttura può incassare la VCC prima del check-in. Se la prenotazione associata viene poi modifi</w:t>
      </w:r>
      <w:r>
        <w:t xml:space="preserve">cata o cancellata, </w:t>
      </w:r>
      <w:r>
        <w:rPr>
          <w:u w:val="single"/>
        </w:rPr>
        <w:t xml:space="preserve">l'importo incassato non coincide più con quello effettivo</w:t>
      </w:r>
      <w:r>
        <w:t xml:space="preserve"> e il disallineamento richiede una gestione manuale tra l'Amministrazione Sibylla e la struttura.</w:t>
      </w:r>
      <w:r/>
    </w:p>
    <w:p w14:paraId="324C74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/>
        <w:ind w:right="0" w:firstLine="0" w:left="0"/>
        <w:jc w:val="both"/>
        <w:rPr>
          <w:highlight w:val="none"/>
        </w:rPr>
      </w:pPr>
      <w:r>
        <w:t xml:space="preserve">A tal fine è necessario sviluppare un </w:t>
      </w:r>
      <w:r>
        <w:rPr>
          <w:u w:val="single"/>
        </w:rPr>
        <w:t xml:space="preserve">nuovo processo di monitoraggio e gestione</w:t>
      </w:r>
      <w:r>
        <w:t xml:space="preserve"> di queste casistiche, supportato da una nuova pagina, che </w:t>
      </w:r>
      <w:r>
        <w:rPr>
          <w:i w:val="0"/>
          <w:iCs w:val="0"/>
          <w:highlight w:val="none"/>
        </w:rPr>
        <w:t xml:space="preserve">mostrerà una vista tabellare (analoga alla pagina </w:t>
      </w:r>
      <w:r>
        <w:rPr>
          <w:i/>
          <w:iCs/>
          <w:highlight w:val="none"/>
        </w:rPr>
        <w:t xml:space="preserve">Admin </w:t>
      </w:r>
      <w:r>
        <w:rPr>
          <w:i w:val="0"/>
          <w:iCs w:val="0"/>
          <w:highlight w:val="none"/>
        </w:rPr>
        <w:t xml:space="preserve">– </w:t>
      </w:r>
      <w:r>
        <w:rPr>
          <w:i/>
          <w:iCs/>
          <w:highlight w:val="none"/>
        </w:rPr>
        <w:t xml:space="preserve">Amministrazione </w:t>
      </w:r>
      <w:r>
        <w:rPr>
          <w:i w:val="0"/>
          <w:iCs w:val="0"/>
          <w:highlight w:val="none"/>
        </w:rPr>
      </w:r>
      <w:r>
        <w:rPr>
          <w:rFonts w:hint="default" w:ascii="Cambria Math" w:hAnsi="Cambria Math" w:eastAsia="Cambria Math" w:cs="Cambria Math"/>
          <w:i w:val="0"/>
          <w:iCs w:val="0"/>
          <w:highlight w:val="none"/>
        </w:rPr>
        <w:t xml:space="preserve">→</w:t>
      </w:r>
      <w:r/>
      <w:r>
        <w:rPr>
          <w:i w:val="0"/>
          <w:iCs w:val="0"/>
          <w:highlight w:val="none"/>
        </w:rPr>
        <w:t xml:space="preserve"> </w:t>
      </w:r>
      <w:r>
        <w:rPr>
          <w:i/>
          <w:iCs/>
          <w:highlight w:val="none"/>
        </w:rPr>
        <w:t xml:space="preserve">Commissioni</w:t>
      </w:r>
      <w:r>
        <w:rPr>
          <w:i w:val="0"/>
          <w:iCs w:val="0"/>
          <w:highlight w:val="none"/>
        </w:rPr>
        <w:t xml:space="preserve">) </w:t>
      </w:r>
      <w:r>
        <w:t xml:space="preserve">delle sole</w:t>
      </w:r>
      <w:r>
        <w:rPr>
          <w:b/>
          <w:bCs/>
        </w:rPr>
        <w:t xml:space="preserve"> VCC incassate prima del check-in</w:t>
      </w:r>
      <w:r>
        <w:rPr>
          <w:i w:val="0"/>
          <w:iCs w:val="0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4"/>
        </w:rPr>
      </w:r>
      <w:r>
        <w:rPr>
          <w:highlight w:val="none"/>
        </w:rPr>
      </w:r>
    </w:p>
    <w:p w14:paraId="5F415D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/>
        <w:ind w:right="0" w:firstLine="0" w:left="0"/>
        <w:jc w:val="both"/>
        <w:rPr/>
      </w:pPr>
      <w:r>
        <w:rPr>
          <w:highlight w:val="none"/>
        </w:rPr>
      </w:r>
      <w:r>
        <w:rPr>
          <w:highlight w:val="none"/>
        </w:rPr>
      </w:r>
      <w:r/>
    </w:p>
    <w:p w14:paraId="274C0674">
      <w:pPr>
        <w:pBdr/>
        <w:spacing w:after="0" w:afterAutospacing="0"/>
        <w:ind w:left="0"/>
        <w:contextualSpacing w:val="true"/>
        <w:jc w:val="both"/>
        <w:rPr>
          <w:b w:val="0"/>
          <w:bCs w:val="0"/>
          <w:highlight w:val="none"/>
        </w:rPr>
      </w:pPr>
      <w:r>
        <w:rPr>
          <w:i w:val="0"/>
          <w:iCs w:val="0"/>
          <w:highlight w:val="none"/>
        </w:rPr>
        <w:t xml:space="preserve">Di seguito l’elenco dei </w:t>
      </w:r>
      <w:r>
        <w:rPr>
          <w:b/>
          <w:bCs/>
          <w:i w:val="0"/>
          <w:iCs w:val="0"/>
          <w:highlight w:val="none"/>
        </w:rPr>
        <w:t xml:space="preserve">campi della tabella</w:t>
      </w:r>
      <w:r>
        <w:rPr>
          <w:i w:val="0"/>
          <w:iCs w:val="0"/>
          <w:highlight w:val="none"/>
        </w:rPr>
        <w:t xml:space="preserve"> e, ove opportuno, una breve descrizione per ciascuno: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5219FA9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b w:val="0"/>
          <w:bCs w:val="0"/>
          <w:highlight w:val="none"/>
        </w:rPr>
      </w:pPr>
      <w:r>
        <w:rPr>
          <w:b w:val="0"/>
          <w:bCs w:val="0"/>
          <w:i/>
          <w:iCs/>
          <w:highlight w:val="none"/>
        </w:rPr>
        <w:t xml:space="preserve">Struttura</w:t>
      </w:r>
      <w:r>
        <w:rPr>
          <w:b w:val="0"/>
          <w:bCs w:val="0"/>
          <w:highlight w:val="none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FAFF5EE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b w:val="0"/>
          <w:bCs w:val="0"/>
          <w:highlight w:val="none"/>
        </w:rPr>
      </w:pPr>
      <w:r>
        <w:rPr>
          <w:b w:val="0"/>
          <w:bCs w:val="0"/>
          <w:i/>
          <w:iCs/>
          <w:highlight w:val="none"/>
        </w:rPr>
        <w:t xml:space="preserve">Booking ID</w:t>
      </w:r>
      <w:r>
        <w:rPr>
          <w:b w:val="0"/>
          <w:bCs w:val="0"/>
          <w:highlight w:val="none"/>
        </w:rPr>
        <w:t xml:space="preserve">;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37C45D3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/>
      </w:pPr>
      <w:r>
        <w:rPr>
          <w:b w:val="0"/>
          <w:bCs w:val="0"/>
          <w:highlight w:val="none"/>
        </w:rPr>
      </w:r>
      <w:r>
        <w:rPr>
          <w:i/>
          <w:iCs/>
        </w:rPr>
        <w:t xml:space="preserve">Importo struttura</w:t>
      </w:r>
      <w:r>
        <w:t xml:space="preserve">: importo della VCC già incassata dalla struttura. Tale importo non dovrà essere modificato una volta che la VCC è stata incassata;</w:t>
      </w:r>
      <w:r/>
    </w:p>
    <w:p w14:paraId="3A6CD70D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/>
          <w:iCs/>
        </w:rPr>
        <w:t xml:space="preserve">VCC</w:t>
      </w:r>
      <w:r>
        <w:t xml:space="preserve">: pulsante (icona occhio) per visualizzare la VCC già incassata dalla struttura;</w:t>
      </w:r>
      <w:r>
        <w:rPr>
          <w:highlight w:val="none"/>
        </w:rPr>
      </w:r>
      <w:r>
        <w:rPr>
          <w:highlight w:val="none"/>
        </w:rPr>
      </w:r>
    </w:p>
    <w:p w14:paraId="48302902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/>
          <w:iCs/>
          <w:highlight w:val="none"/>
        </w:rPr>
        <w:t xml:space="preserve">Status prenotazione</w:t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2AF9DBA5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Confermata: se non riceviamo modifiche alla prenotazione;</w:t>
      </w:r>
      <w:r>
        <w:rPr>
          <w:highlight w:val="none"/>
        </w:rPr>
      </w:r>
    </w:p>
    <w:p w14:paraId="44A8E4B7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Modificata: se riceviamo modifiche all’importo della prenotazione;</w:t>
      </w:r>
      <w:r>
        <w:rPr>
          <w:highlight w:val="none"/>
        </w:rPr>
      </w:r>
    </w:p>
    <w:p w14:paraId="6366041A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/>
      </w:pPr>
      <w:r>
        <w:rPr>
          <w:highlight w:val="none"/>
        </w:rPr>
        <w:t xml:space="preserve">Cancellata: se riceviamo una cancellazione della prenotazione.</w:t>
      </w:r>
      <w:r/>
    </w:p>
    <w:p w14:paraId="0A2B68F0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/>
      </w:pPr>
      <w:r>
        <w:rPr>
          <w:i/>
          <w:iCs/>
        </w:rPr>
        <w:t xml:space="preserve">Data in</w:t>
      </w:r>
      <w:r>
        <w:t xml:space="preserve">;</w:t>
      </w:r>
      <w:r/>
    </w:p>
    <w:p w14:paraId="49874A17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/>
      </w:pPr>
      <w:r>
        <w:rPr>
          <w:i/>
          <w:iCs/>
        </w:rPr>
        <w:t xml:space="preserve">Importo data in</w:t>
      </w:r>
      <w:r>
        <w:t xml:space="preserve">: importo effettivo della prenotazione (che riceviamo da Vertical). Diversamente dal campo </w:t>
      </w:r>
      <w:r>
        <w:rPr>
          <w:i/>
          <w:iCs/>
        </w:rPr>
        <w:t xml:space="preserve">Importo struttura</w:t>
      </w:r>
      <w:r>
        <w:t xml:space="preserve">, può variare in caso di modifiche o cancellazioni;</w:t>
      </w:r>
      <w:r/>
    </w:p>
    <w:p w14:paraId="1166AFA5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/>
          <w:iCs/>
        </w:rPr>
        <w:t xml:space="preserve">Delta importi</w:t>
      </w:r>
      <w:r>
        <w:t xml:space="preserve">: </w:t>
      </w:r>
      <w:r>
        <w:rPr>
          <w:i/>
          <w:iCs/>
        </w:rPr>
        <w:t xml:space="preserve">Importo data in</w:t>
      </w:r>
      <w:r>
        <w:t xml:space="preserve"> – </w:t>
      </w:r>
      <w:r>
        <w:rPr>
          <w:i/>
          <w:iCs/>
        </w:rPr>
        <w:t xml:space="preserve">Importo struttura</w:t>
      </w:r>
      <w:r>
        <w:t xml:space="preserve">;</w:t>
      </w:r>
      <w:r>
        <w:rPr>
          <w:highlight w:val="none"/>
        </w:rPr>
      </w:r>
      <w:r>
        <w:rPr>
          <w:highlight w:val="none"/>
        </w:rPr>
      </w:r>
    </w:p>
    <w:p w14:paraId="118971DF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/>
          <w:iCs/>
          <w:highlight w:val="none"/>
        </w:rPr>
        <w:t xml:space="preserve">Stato lavorazione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4B582E07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Nessuna azione necessaria: </w:t>
      </w:r>
      <w:r>
        <w:rPr>
          <w:highlight w:val="none"/>
        </w:rPr>
        <w:t xml:space="preserve">se </w:t>
      </w:r>
      <w:r>
        <w:rPr>
          <w:i/>
          <w:iCs/>
          <w:highlight w:val="none"/>
        </w:rPr>
        <w:t xml:space="preserve">Delta importi</w:t>
      </w:r>
      <w:r>
        <w:rPr>
          <w:highlight w:val="none"/>
        </w:rPr>
        <w:t xml:space="preserve"> = 0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 w14:paraId="2695ECF8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Da lavorare: se </w:t>
      </w:r>
      <w:r>
        <w:rPr>
          <w:i/>
          <w:iCs/>
          <w:highlight w:val="none"/>
        </w:rPr>
        <w:t xml:space="preserve">Delta import</w:t>
      </w:r>
      <w:r>
        <w:rPr>
          <w:i/>
          <w:iCs/>
          <w:highlight w:val="none"/>
        </w:rPr>
        <w:t xml:space="preserve">i</w:t>
      </w:r>
      <w:r>
        <w:rPr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0</w:t>
      </w:r>
      <w:r>
        <w:rPr>
          <w:highlight w:val="none"/>
        </w:rPr>
        <w:t xml:space="preserve"> E </w:t>
      </w:r>
      <w:r>
        <w:rPr>
          <w:i/>
          <w:iCs/>
          <w:highlight w:val="none"/>
        </w:rPr>
        <w:t xml:space="preserve">Azioni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Risolto;</w:t>
      </w:r>
      <w:r>
        <w:rPr>
          <w:highlight w:val="none"/>
        </w:rPr>
      </w:r>
      <w:r>
        <w:rPr>
          <w:highlight w:val="none"/>
        </w:rPr>
      </w:r>
    </w:p>
    <w:p w14:paraId="50EE8A54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Risolto:</w:t>
      </w:r>
      <w:r>
        <w:rPr>
          <w:highlight w:val="none"/>
        </w:rPr>
        <w:t xml:space="preserve"> se </w:t>
      </w:r>
      <w:r>
        <w:rPr>
          <w:i/>
          <w:iCs/>
          <w:highlight w:val="none"/>
        </w:rPr>
        <w:t xml:space="preserve">Azioni </w:t>
      </w:r>
      <w:r>
        <w:rPr>
          <w:highlight w:val="none"/>
        </w:rPr>
        <w:t xml:space="preserve">= Risolto.</w:t>
      </w:r>
      <w:r>
        <w:rPr>
          <w:highlight w:val="none"/>
        </w:rPr>
      </w:r>
    </w:p>
    <w:p w14:paraId="6CE86D36">
      <w:pPr>
        <w:pStyle w:val="928"/>
        <w:numPr>
          <w:ilvl w:val="0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i/>
          <w:iCs/>
          <w:highlight w:val="none"/>
        </w:rPr>
        <w:t xml:space="preserve">Azioni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52C61660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Se </w:t>
      </w:r>
      <w:r>
        <w:rPr>
          <w:i/>
          <w:iCs/>
          <w:highlight w:val="none"/>
        </w:rPr>
        <w:t xml:space="preserve">Delta importi</w:t>
      </w:r>
      <w:r>
        <w:rPr>
          <w:highlight w:val="none"/>
        </w:rPr>
        <w:t xml:space="preserve"> = 0, riportare solamente un trattino “-“;</w:t>
      </w:r>
      <w:r>
        <w:rPr>
          <w:highlight w:val="none"/>
        </w:rPr>
      </w:r>
      <w:r>
        <w:rPr>
          <w:highlight w:val="none"/>
        </w:rPr>
      </w:r>
    </w:p>
    <w:p w14:paraId="2AB5B69A">
      <w:pPr>
        <w:pStyle w:val="928"/>
        <w:numPr>
          <w:ilvl w:val="1"/>
          <w:numId w:val="7"/>
        </w:numPr>
        <w:pBdr/>
        <w:spacing w:after="0" w:afterAutospacing="0"/>
        <w:ind/>
        <w:contextualSpacing w:val="true"/>
        <w:jc w:val="both"/>
        <w:rPr/>
      </w:pPr>
      <w:r>
        <w:rPr>
          <w:highlight w:val="none"/>
        </w:rPr>
        <w:t xml:space="preserve">Se </w:t>
      </w:r>
      <w:r>
        <w:rPr>
          <w:i/>
          <w:iCs/>
          <w:highlight w:val="none"/>
        </w:rPr>
        <w:t xml:space="preserve">Delta import</w:t>
      </w:r>
      <w:r>
        <w:rPr>
          <w:i/>
          <w:iCs/>
          <w:highlight w:val="none"/>
        </w:rPr>
        <w:t xml:space="preserve">i</w:t>
      </w:r>
      <w:r>
        <w:rPr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0, inserire dei pulsanti per consentire di tracciare la lavorazione delle singole righe da parte dell’Amministrazione Sibylla. Si rimanda alle sezioni di </w:t>
      </w:r>
      <w:hyperlink w:tooltip="#_Flusso_mod" w:anchor="_Flusso_mod" w:history="1">
        <w:r>
          <w:rPr>
            <w:rStyle w:val="910"/>
            <w:highlight w:val="none"/>
          </w:rPr>
          <w:t xml:space="preserve">Flusso modifica positiva</w:t>
        </w:r>
      </w:hyperlink>
      <w:r>
        <w:rPr>
          <w:highlight w:val="none"/>
        </w:rPr>
        <w:t xml:space="preserve"> e </w:t>
      </w:r>
      <w:hyperlink w:tooltip="#_Flusso_mod_1" w:anchor="_Flusso_mod_1" w:history="1">
        <w:r>
          <w:rPr>
            <w:rStyle w:val="910"/>
            <w:highlight w:val="none"/>
          </w:rPr>
        </w:r>
        <w:r>
          <w:rPr>
            <w:rStyle w:val="910"/>
            <w:highlight w:val="none"/>
          </w:rPr>
          <w:t xml:space="preserve">Flusso modifica negativa e cancellazione</w:t>
        </w:r>
      </w:hyperlink>
      <w:r>
        <w:rPr>
          <w:highlight w:val="none"/>
        </w:rPr>
        <w:t xml:space="preserve"> per le specifiche sui pulsanti da prevedere.</w:t>
      </w:r>
      <w:r>
        <w:rPr>
          <w:highlight w:val="none"/>
        </w:rPr>
      </w:r>
      <w:r/>
    </w:p>
    <w:p w14:paraId="2D51AB89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E83949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EB91D4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85A9198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Di seguito un mock up della tabella:</w:t>
      </w:r>
      <w:r>
        <w:rPr>
          <w:highlight w:val="none"/>
        </w:rPr>
      </w:r>
    </w:p>
    <w:p w14:paraId="6B1C194B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7EBA88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60529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6434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16052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26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3964C3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06C88B2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All’apertura della tabella sarà necessario mostrare </w:t>
      </w:r>
      <w:r>
        <w:rPr>
          <w:highlight w:val="none"/>
          <w:u w:val="single"/>
        </w:rPr>
        <w:t xml:space="preserve">tutte le VCC incassate prima della data in</w:t>
      </w:r>
      <w:r>
        <w:rPr>
          <w:highlight w:val="none"/>
        </w:rPr>
        <w:t xml:space="preserve"> che soddisfino i seguenti requisiti:</w:t>
      </w:r>
      <w:r>
        <w:rPr>
          <w:highlight w:val="none"/>
        </w:rPr>
      </w:r>
      <w:r>
        <w:rPr>
          <w:highlight w:val="none"/>
        </w:rPr>
      </w:r>
    </w:p>
    <w:p w14:paraId="446C0AE3">
      <w:pPr>
        <w:pStyle w:val="928"/>
        <w:numPr>
          <w:ilvl w:val="0"/>
          <w:numId w:val="8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/>
          <w:iCs/>
          <w:highlight w:val="none"/>
        </w:rPr>
        <w:t xml:space="preserve">Data in</w:t>
      </w:r>
      <w:r>
        <w:rPr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≥</w:t>
      </w:r>
      <w:r>
        <w:rPr>
          <w:highlight w:val="none"/>
        </w:rPr>
        <w:t xml:space="preserve"> Oggi;</w:t>
      </w:r>
      <w:r>
        <w:rPr>
          <w:highlight w:val="none"/>
        </w:rPr>
      </w:r>
      <w:r>
        <w:rPr>
          <w:highlight w:val="none"/>
        </w:rPr>
      </w:r>
    </w:p>
    <w:p w14:paraId="66189CBF">
      <w:pPr>
        <w:pStyle w:val="928"/>
        <w:numPr>
          <w:ilvl w:val="0"/>
          <w:numId w:val="8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/>
          <w:iCs/>
          <w:highlight w:val="none"/>
        </w:rPr>
        <w:t xml:space="preserve">Data in</w:t>
      </w:r>
      <w:r>
        <w:rPr>
          <w:highlight w:val="none"/>
        </w:rPr>
        <w:t xml:space="preserve"> &lt; Oggi E </w:t>
      </w:r>
      <w:r>
        <w:rPr>
          <w:i/>
          <w:iCs/>
          <w:highlight w:val="none"/>
        </w:rPr>
        <w:t xml:space="preserve">Delta importi</w:t>
      </w:r>
      <w:r>
        <w:rPr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0 E </w:t>
      </w:r>
      <w:r>
        <w:rPr>
          <w:i/>
          <w:iCs/>
          <w:highlight w:val="none"/>
        </w:rPr>
        <w:t xml:space="preserve">Stato lavorazione</w:t>
      </w:r>
      <w:r/>
      <w:r>
        <w:rPr>
          <w:highlight w:val="none"/>
        </w:rPr>
      </w:r>
      <w:r>
        <w:rPr>
          <w:i/>
          <w:iCs/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Risolto.</w:t>
      </w:r>
      <w:r>
        <w:rPr>
          <w:highlight w:val="none"/>
        </w:rPr>
      </w:r>
      <w:r>
        <w:rPr>
          <w:highlight w:val="none"/>
        </w:rPr>
      </w:r>
    </w:p>
    <w:p w14:paraId="63D30377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L’</w:t>
      </w:r>
      <w:r>
        <w:rPr>
          <w:b/>
          <w:bCs/>
          <w:highlight w:val="none"/>
          <w:u w:val="none"/>
        </w:rPr>
        <w:t xml:space="preserve">ordinamento di default</w:t>
      </w:r>
      <w:r>
        <w:rPr>
          <w:highlight w:val="none"/>
        </w:rPr>
        <w:t xml:space="preserve"> dovrà essere rispetto alla </w:t>
      </w:r>
      <w:r>
        <w:rPr>
          <w:i/>
          <w:iCs/>
          <w:highlight w:val="none"/>
        </w:rPr>
        <w:t xml:space="preserve">Data in</w:t>
      </w:r>
      <w:r>
        <w:rPr>
          <w:highlight w:val="none"/>
        </w:rPr>
        <w:t xml:space="preserve"> ed in </w:t>
      </w:r>
      <w:r>
        <w:rPr>
          <w:highlight w:val="none"/>
          <w:u w:val="single"/>
        </w:rPr>
        <w:t xml:space="preserve">ordine crescente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45E73BEB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Tutte le colonne devono prevedere </w:t>
      </w:r>
      <w:r>
        <w:rPr>
          <w:b/>
          <w:bCs/>
          <w:highlight w:val="none"/>
        </w:rPr>
        <w:t xml:space="preserve">filtri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3BACBDE4">
      <w:pPr>
        <w:pBdr/>
        <w:spacing w:after="0" w:afterAutospacing="0"/>
        <w:ind w:firstLine="0" w:left="0"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5C3ABEE">
      <w:pPr>
        <w:pStyle w:val="867"/>
        <w:pBdr/>
        <w:spacing/>
        <w:ind/>
        <w:jc w:val="both"/>
        <w:rPr>
          <w:highlight w:val="none"/>
        </w:rPr>
      </w:pPr>
      <w:r/>
      <w:bookmarkStart w:id="1" w:name="_Flusso_mod"/>
      <w:r/>
      <w:bookmarkEnd w:id="1"/>
      <w:r>
        <w:rPr>
          <w:highlight w:val="none"/>
        </w:rPr>
        <w:t xml:space="preserve">Flusso modifica positiva</w:t>
      </w:r>
      <w:r>
        <w:rPr>
          <w:highlight w:val="none"/>
        </w:rPr>
      </w:r>
      <w:r>
        <w:rPr>
          <w:highlight w:val="none"/>
        </w:rPr>
      </w:r>
    </w:p>
    <w:p w14:paraId="196F8693">
      <w:pPr>
        <w:pBdr/>
        <w:spacing w:after="0" w:afterAutospacing="0"/>
        <w:ind w:firstLine="0" w:left="0"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Quando riceviamo una modifica positiva (</w:t>
      </w:r>
      <w:r>
        <w:rPr>
          <w:i/>
          <w:iCs/>
          <w:highlight w:val="none"/>
          <w:u w:val="single"/>
        </w:rPr>
        <w:t xml:space="preserve">Delta importi</w:t>
      </w:r>
      <w:r>
        <w:rPr>
          <w:highlight w:val="none"/>
          <w:u w:val="single"/>
        </w:rPr>
        <w:t xml:space="preserve"> &gt; 0</w:t>
      </w:r>
      <w:r>
        <w:rPr>
          <w:highlight w:val="none"/>
        </w:rPr>
        <w:t xml:space="preserve">) dell’importo di una prenotazione associata ad una VCC già incassata, nella colonna </w:t>
      </w:r>
      <w:r>
        <w:rPr>
          <w:b/>
          <w:bCs/>
          <w:i/>
          <w:iCs/>
          <w:highlight w:val="none"/>
        </w:rPr>
        <w:t xml:space="preserve">Azioni</w:t>
      </w:r>
      <w:r>
        <w:rPr>
          <w:highlight w:val="none"/>
        </w:rPr>
        <w:t xml:space="preserve">:</w:t>
      </w:r>
      <w:r>
        <w:rPr>
          <w:bCs w:val="0"/>
          <w:i w:val="0"/>
          <w:highlight w:val="none"/>
        </w:rPr>
      </w:r>
      <w:r>
        <w:rPr>
          <w:highlight w:val="none"/>
        </w:rPr>
      </w:r>
    </w:p>
    <w:p w14:paraId="28183277">
      <w:pPr>
        <w:pStyle w:val="928"/>
        <w:numPr>
          <w:ilvl w:val="0"/>
          <w:numId w:val="14"/>
        </w:numPr>
        <w:pBdr/>
        <w:spacing w:after="0" w:afterAutospacing="0"/>
        <w:ind/>
        <w:contextualSpacing w:val="true"/>
        <w:jc w:val="both"/>
        <w:rPr>
          <w:bCs w:val="0"/>
          <w:i w:val="0"/>
          <w:highlight w:val="none"/>
        </w:rPr>
      </w:pPr>
      <w:r>
        <w:rPr>
          <w:highlight w:val="none"/>
        </w:rPr>
        <w:t xml:space="preserve">Sarà presente il pulsante (icona carta di credito) per </w:t>
      </w:r>
      <w:r>
        <w:rPr>
          <w:highlight w:val="none"/>
          <w:u w:val="single"/>
        </w:rPr>
        <w:t xml:space="preserve">generare la VCC</w:t>
      </w:r>
      <w:r>
        <w:rPr>
          <w:highlight w:val="none"/>
        </w:rPr>
        <w:t xml:space="preserve"> dell’importo pari a </w:t>
      </w:r>
      <w:r>
        <w:rPr>
          <w:i/>
          <w:iCs/>
          <w:highlight w:val="none"/>
        </w:rPr>
        <w:t xml:space="preserve">Delta importi</w:t>
      </w:r>
      <w:r>
        <w:rPr>
          <w:bCs w:val="0"/>
          <w:i w:val="0"/>
          <w:highlight w:val="none"/>
        </w:rPr>
        <w:t xml:space="preserve">;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3472C8C8">
      <w:pPr>
        <w:pStyle w:val="928"/>
        <w:numPr>
          <w:ilvl w:val="0"/>
          <w:numId w:val="14"/>
        </w:numPr>
        <w:pBdr/>
        <w:spacing w:after="0" w:afterAutospacing="0"/>
        <w:ind/>
        <w:contextualSpacing w:val="true"/>
        <w:jc w:val="both"/>
        <w:rPr>
          <w:bCs w:val="0"/>
          <w:i w:val="0"/>
          <w:highlight w:val="none"/>
        </w:rPr>
      </w:pPr>
      <w:r>
        <w:rPr>
          <w:bCs w:val="0"/>
          <w:i w:val="0"/>
          <w:highlight w:val="none"/>
        </w:rPr>
      </w:r>
      <w:r>
        <w:rPr>
          <w:i w:val="0"/>
          <w:iCs w:val="0"/>
          <w:highlight w:val="none"/>
        </w:rPr>
        <w:t xml:space="preserve">Dopo la generazione, analogamente al funzionamento della pagina </w:t>
      </w:r>
      <w:r>
        <w:rPr>
          <w:i/>
          <w:iCs/>
          <w:highlight w:val="none"/>
        </w:rPr>
        <w:t xml:space="preserve">Admin </w:t>
      </w:r>
      <w:r>
        <w:rPr>
          <w:i w:val="0"/>
          <w:iCs w:val="0"/>
          <w:highlight w:val="none"/>
        </w:rPr>
        <w:t xml:space="preserve">– </w:t>
      </w:r>
      <w:r>
        <w:rPr>
          <w:i/>
          <w:iCs/>
          <w:highlight w:val="none"/>
        </w:rPr>
        <w:t xml:space="preserve">Amministrazione</w:t>
      </w:r>
      <w:r>
        <w:rPr>
          <w:i w:val="0"/>
          <w:iCs w:val="0"/>
          <w:highlight w:val="none"/>
        </w:rPr>
        <w:t xml:space="preserve"> </w:t>
      </w:r>
      <w:r/>
      <w:r>
        <w:rPr>
          <w:rFonts w:hint="default" w:ascii="Cambria Math" w:hAnsi="Cambria Math" w:eastAsia="Cambria Math" w:cs="Cambria Math"/>
          <w:i w:val="0"/>
          <w:iCs w:val="0"/>
          <w:highlight w:val="none"/>
        </w:rPr>
        <w:t xml:space="preserve">→</w:t>
      </w:r>
      <w:r/>
      <w:r>
        <w:rPr>
          <w:i w:val="0"/>
          <w:iCs w:val="0"/>
          <w:highlight w:val="none"/>
        </w:rPr>
        <w:t xml:space="preserve"> </w:t>
      </w:r>
      <w:r>
        <w:rPr>
          <w:i/>
          <w:iCs/>
          <w:highlight w:val="none"/>
        </w:rPr>
        <w:t xml:space="preserve">Commissioni</w:t>
      </w:r>
      <w:r>
        <w:rPr>
          <w:i w:val="0"/>
          <w:iCs w:val="0"/>
          <w:highlight w:val="none"/>
        </w:rPr>
        <w:t xml:space="preserve">, l’icona della generazione dovrà essere sostituita dall’icona dell’occhio per la </w:t>
      </w:r>
      <w:r>
        <w:rPr>
          <w:i w:val="0"/>
          <w:iCs w:val="0"/>
          <w:highlight w:val="none"/>
          <w:u w:val="single"/>
        </w:rPr>
        <w:t xml:space="preserve">visualizzazione della </w:t>
      </w:r>
      <w:r>
        <w:rPr>
          <w:i w:val="0"/>
          <w:iCs w:val="0"/>
          <w:highlight w:val="none"/>
          <w:u w:val="single"/>
        </w:rPr>
        <w:t xml:space="preserve">carta</w:t>
      </w:r>
      <w:r>
        <w:rPr>
          <w:i w:val="0"/>
          <w:iCs w:val="0"/>
          <w:highlight w:val="none"/>
        </w:rPr>
        <w:t xml:space="preserve">;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18325FA8">
      <w:pPr>
        <w:pStyle w:val="928"/>
        <w:numPr>
          <w:ilvl w:val="0"/>
          <w:numId w:val="14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i w:val="0"/>
          <w:iCs w:val="0"/>
          <w:highlight w:val="none"/>
        </w:rPr>
        <w:t xml:space="preserve">Accanto al pulsante per la visualizzazione della carta, inserire il </w:t>
      </w:r>
      <w:r>
        <w:rPr>
          <w:highlight w:val="none"/>
        </w:rPr>
        <w:t xml:space="preserve">pulsante (icona check) per </w:t>
      </w:r>
      <w:r>
        <w:rPr>
          <w:highlight w:val="none"/>
          <w:u w:val="single"/>
        </w:rPr>
        <w:t xml:space="preserve">confermare la risoluzione</w:t>
      </w:r>
      <w:r>
        <w:rPr>
          <w:highlight w:val="none"/>
        </w:rPr>
        <w:t xml:space="preserve"> della lavorazione di </w:t>
      </w:r>
      <w:r>
        <w:rPr>
          <w:highlight w:val="none"/>
        </w:rPr>
        <w:t xml:space="preserve">una prenotazione (da registrare a back end come “Risolto” per il funzionamento di alcune condizioni descritte precedentemente);</w:t>
      </w:r>
      <w:r>
        <w:rPr>
          <w:bCs w:val="0"/>
          <w:i w:val="0"/>
          <w:highlight w:val="none"/>
        </w:rPr>
      </w:r>
      <w:r>
        <w:rPr>
          <w:highlight w:val="none"/>
        </w:rPr>
      </w:r>
    </w:p>
    <w:p w14:paraId="5E3830E4">
      <w:pPr>
        <w:pStyle w:val="928"/>
        <w:numPr>
          <w:ilvl w:val="0"/>
          <w:numId w:val="14"/>
        </w:numPr>
        <w:pBdr/>
        <w:spacing w:after="0" w:afterAutospacing="0"/>
        <w:ind/>
        <w:contextualSpacing w:val="true"/>
        <w:jc w:val="both"/>
        <w:rPr>
          <w:bCs w:val="0"/>
          <w:i w:val="0"/>
          <w:highlight w:val="none"/>
        </w:rPr>
      </w:pPr>
      <w:r>
        <w:rPr>
          <w:highlight w:val="none"/>
        </w:rPr>
        <w:t xml:space="preserve">Al click del pulsante della risoluzione, si dovrà aprire una finestra che chiederà </w:t>
      </w:r>
      <w:r>
        <w:rPr>
          <w:highlight w:val="none"/>
          <w:u w:val="none"/>
        </w:rPr>
        <w:t xml:space="preserve">conferma della risoluzione</w:t>
      </w:r>
      <w:r>
        <w:rPr>
          <w:highlight w:val="none"/>
        </w:rPr>
        <w:t xml:space="preserve"> e del conseguente aggiornamento dei dati;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6BC6F55B">
      <w:pPr>
        <w:pStyle w:val="928"/>
        <w:numPr>
          <w:ilvl w:val="0"/>
          <w:numId w:val="14"/>
        </w:numPr>
        <w:pBdr/>
        <w:spacing w:after="0" w:afterAutospacing="0"/>
        <w:ind/>
        <w:contextualSpacing w:val="true"/>
        <w:jc w:val="both"/>
        <w:rPr>
          <w:bCs w:val="0"/>
          <w:i w:val="0"/>
          <w:highlight w:val="none"/>
        </w:rPr>
      </w:pPr>
      <w:r>
        <w:rPr>
          <w:highlight w:val="none"/>
        </w:rPr>
        <w:t xml:space="preserve">Alla conferma, la colonna </w:t>
      </w:r>
      <w:r>
        <w:rPr>
          <w:i/>
          <w:iCs/>
          <w:highlight w:val="none"/>
        </w:rPr>
        <w:t xml:space="preserve">Stato lavorazione</w:t>
      </w:r>
      <w:r>
        <w:rPr>
          <w:highlight w:val="none"/>
        </w:rPr>
        <w:t xml:space="preserve"> passerà in “Risolto”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bCs w:val="0"/>
          <w:i w:val="0"/>
          <w:highlight w:val="none"/>
        </w:rPr>
      </w:r>
    </w:p>
    <w:p w14:paraId="6F744C87">
      <w:pPr>
        <w:pBdr/>
        <w:spacing w:after="0" w:afterAutospacing="0"/>
        <w:ind w:firstLine="0" w:left="0"/>
        <w:contextualSpacing w:val="true"/>
        <w:jc w:val="both"/>
        <w:rPr>
          <w:bCs w:val="0"/>
          <w:i w:val="0"/>
          <w:highlight w:val="none"/>
        </w:rPr>
      </w:pPr>
      <w:r>
        <w:rPr>
          <w:i w:val="0"/>
          <w:iCs w:val="0"/>
          <w:highlight w:val="none"/>
        </w:rPr>
      </w:r>
      <w:r>
        <w:rPr>
          <w:i w:val="0"/>
          <w:iCs w:val="0"/>
          <w:highlight w:val="none"/>
        </w:rPr>
      </w:r>
      <w:r>
        <w:rPr>
          <w:bCs w:val="0"/>
          <w:i w:val="0"/>
          <w:highlight w:val="none"/>
        </w:rPr>
      </w:r>
    </w:p>
    <w:p w14:paraId="521D068B">
      <w:pPr>
        <w:pStyle w:val="867"/>
        <w:pBdr/>
        <w:spacing/>
        <w:ind/>
        <w:jc w:val="both"/>
        <w:rPr>
          <w:highlight w:val="none"/>
        </w:rPr>
      </w:pPr>
      <w:r/>
      <w:bookmarkStart w:id="2" w:name="_Flusso_mod_1"/>
      <w:r/>
      <w:bookmarkEnd w:id="2"/>
      <w:r>
        <w:rPr>
          <w:highlight w:val="none"/>
        </w:rPr>
        <w:t xml:space="preserve">Flusso modifica negativa e cancellazione</w:t>
      </w:r>
      <w:r>
        <w:rPr>
          <w:highlight w:val="none"/>
        </w:rPr>
      </w:r>
      <w:r>
        <w:rPr>
          <w:highlight w:val="none"/>
        </w:rPr>
      </w:r>
    </w:p>
    <w:p w14:paraId="4376AD25">
      <w:pPr>
        <w:pBdr/>
        <w:spacing w:after="0" w:afterAutospacing="0"/>
        <w:ind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Quando riceviamo una modifica negativa dell’importo o la cancellazione </w:t>
      </w:r>
      <w:r>
        <w:rPr>
          <w:highlight w:val="none"/>
        </w:rPr>
        <w:t xml:space="preserve">(</w:t>
      </w:r>
      <w:r>
        <w:rPr>
          <w:i/>
          <w:iCs/>
          <w:highlight w:val="none"/>
          <w:u w:val="single"/>
        </w:rPr>
        <w:t xml:space="preserve">Delta importi</w:t>
      </w:r>
      <w:r>
        <w:rPr>
          <w:highlight w:val="none"/>
          <w:u w:val="single"/>
        </w:rPr>
        <w:t xml:space="preserve"> &lt; 0</w:t>
      </w:r>
      <w:r>
        <w:rPr>
          <w:highlight w:val="none"/>
        </w:rPr>
        <w:t xml:space="preserve">)</w:t>
      </w:r>
      <w:r>
        <w:rPr>
          <w:highlight w:val="none"/>
        </w:rPr>
        <w:t xml:space="preserve"> di u</w:t>
      </w:r>
      <w:r>
        <w:rPr>
          <w:highlight w:val="none"/>
        </w:rPr>
        <w:t xml:space="preserve">na prenotazione associata ad una VCC già incassata, la casistica viene gestita manualmente: l’Amministrazione Sibylla contatta la struttura interessata per richiedere un bonifico in favore del conto Pliant di Sibylla e pari al valore assoluto contenuto in </w:t>
      </w:r>
      <w:r>
        <w:rPr>
          <w:i/>
          <w:iCs/>
          <w:highlight w:val="none"/>
        </w:rPr>
        <w:t xml:space="preserve">Delta importi</w:t>
      </w:r>
      <w:r>
        <w:rPr>
          <w:highlight w:val="none"/>
        </w:rPr>
        <w:t xml:space="preserve">.</w:t>
      </w:r>
      <w:r>
        <w:rPr>
          <w:highlight w:val="none"/>
        </w:rPr>
      </w:r>
    </w:p>
    <w:p w14:paraId="6D278D3C">
      <w:pPr>
        <w:pBdr/>
        <w:spacing w:after="0" w:afterAutospacing="0"/>
        <w:ind/>
        <w:jc w:val="both"/>
        <w:rPr>
          <w:highlight w:val="none"/>
        </w:rPr>
      </w:pPr>
      <w:r>
        <w:rPr>
          <w:highlight w:val="none"/>
        </w:rPr>
        <w:t xml:space="preserve">Nella colonna </w:t>
      </w:r>
      <w:r>
        <w:rPr>
          <w:b/>
          <w:bCs/>
          <w:i/>
          <w:iCs/>
          <w:highlight w:val="none"/>
        </w:rPr>
        <w:t xml:space="preserve">Azioni </w:t>
      </w:r>
      <w:r>
        <w:rPr>
          <w:highlight w:val="none"/>
        </w:rPr>
        <w:t xml:space="preserve">della tabella:</w:t>
      </w:r>
      <w:r>
        <w:rPr>
          <w:highlight w:val="none"/>
        </w:rPr>
      </w:r>
      <w:r>
        <w:rPr>
          <w:highlight w:val="none"/>
        </w:rPr>
      </w:r>
    </w:p>
    <w:p w14:paraId="505F97CB">
      <w:pPr>
        <w:pStyle w:val="928"/>
        <w:numPr>
          <w:ilvl w:val="0"/>
          <w:numId w:val="15"/>
        </w:numPr>
        <w:pBdr/>
        <w:spacing w:after="0" w:afterAutospacing="0" w:afterLines="0"/>
        <w:ind/>
        <w:jc w:val="both"/>
        <w:rPr>
          <w:highlight w:val="none"/>
        </w:rPr>
      </w:pPr>
      <w:r>
        <w:rPr>
          <w:highlight w:val="none"/>
        </w:rPr>
        <w:t xml:space="preserve">Sarà presente il pulsante </w:t>
      </w:r>
      <w:r>
        <w:rPr>
          <w:highlight w:val="none"/>
        </w:rPr>
        <w:t xml:space="preserve">(icona check) per</w:t>
      </w:r>
      <w:r>
        <w:rPr>
          <w:highlight w:val="none"/>
          <w:u w:val="none"/>
        </w:rPr>
        <w:t xml:space="preserve"> </w:t>
      </w:r>
      <w:r>
        <w:rPr>
          <w:highlight w:val="none"/>
          <w:u w:val="single"/>
        </w:rPr>
        <w:t xml:space="preserve">confermare la risoluzione</w:t>
      </w:r>
      <w:r>
        <w:rPr>
          <w:highlight w:val="none"/>
        </w:rPr>
        <w:t xml:space="preserve"> della lavorazione di </w:t>
      </w:r>
      <w:r>
        <w:rPr>
          <w:highlight w:val="none"/>
        </w:rPr>
        <w:t xml:space="preserve">una prenotazione (da registrare a back end come “Risolto” per il funzionamento di alcune condizioni descritte precedentemente);</w:t>
      </w:r>
      <w:r>
        <w:rPr>
          <w:highlight w:val="none"/>
        </w:rPr>
      </w:r>
      <w:r>
        <w:rPr>
          <w:highlight w:val="none"/>
        </w:rPr>
      </w:r>
    </w:p>
    <w:p w14:paraId="5D91B202">
      <w:pPr>
        <w:pStyle w:val="928"/>
        <w:numPr>
          <w:ilvl w:val="0"/>
          <w:numId w:val="17"/>
        </w:numPr>
        <w:pBdr/>
        <w:spacing w:after="0" w:afterAutospacing="0"/>
        <w:ind/>
        <w:contextualSpacing w:val="true"/>
        <w:jc w:val="both"/>
        <w:rPr>
          <w:bCs w:val="0"/>
          <w:i w:val="0"/>
          <w:highlight w:val="none"/>
        </w:rPr>
      </w:pPr>
      <w:r>
        <w:rPr>
          <w:highlight w:val="none"/>
        </w:rPr>
        <w:t xml:space="preserve">Al click del pulsante della risoluzione, si dovrà aprire una finestra che chiederà conferma della risoluzione e del conseguente aggiornamento dei dati;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5B31099D">
      <w:pPr>
        <w:pStyle w:val="928"/>
        <w:numPr>
          <w:ilvl w:val="0"/>
          <w:numId w:val="18"/>
        </w:numPr>
        <w:pBdr/>
        <w:spacing w:after="0" w:afterAutospacing="0"/>
        <w:ind/>
        <w:contextualSpacing w:val="true"/>
        <w:jc w:val="both"/>
        <w:rPr>
          <w:bCs w:val="0"/>
          <w:i w:val="0"/>
          <w:highlight w:val="none"/>
        </w:rPr>
      </w:pPr>
      <w:r>
        <w:rPr>
          <w:highlight w:val="none"/>
        </w:rPr>
        <w:t xml:space="preserve">Alla conferma, la colonna </w:t>
      </w:r>
      <w:r>
        <w:rPr>
          <w:i/>
          <w:iCs/>
          <w:highlight w:val="none"/>
        </w:rPr>
        <w:t xml:space="preserve">Stato lavorazione</w:t>
      </w:r>
      <w:r>
        <w:rPr>
          <w:highlight w:val="none"/>
        </w:rPr>
        <w:t xml:space="preserve"> passerà in “Risolto”</w:t>
      </w:r>
      <w:r>
        <w:rPr>
          <w:highlight w:val="none"/>
        </w:rPr>
        <w:t xml:space="preserve">.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113A4076">
      <w:pPr>
        <w:pBdr/>
        <w:spacing w:after="0" w:afterAutospacing="0"/>
        <w:ind w:firstLine="0" w:left="0"/>
        <w:contextualSpacing w:val="true"/>
        <w:jc w:val="both"/>
        <w:rPr>
          <w:bCs w:val="0"/>
          <w:i w:val="0"/>
          <w:highlight w:val="none"/>
        </w:rPr>
      </w:pP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 w14:paraId="2C7E3C5F">
      <w:pPr>
        <w:pStyle w:val="866"/>
        <w:pBdr/>
        <w:spacing/>
        <w:ind/>
        <w:jc w:val="both"/>
        <w:rPr>
          <w:b/>
          <w:bCs/>
          <w:highlight w:val="none"/>
        </w:rPr>
      </w:pPr>
      <w:r>
        <w:rPr>
          <w:b/>
          <w:bCs/>
          <w:highlight w:val="none"/>
        </w:rPr>
        <w:t xml:space="preserve">Altre funzionalità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4D6AA092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Alla conferma della </w:t>
      </w:r>
      <w:r>
        <w:rPr>
          <w:highlight w:val="none"/>
          <w:u w:val="single"/>
        </w:rPr>
        <w:t xml:space="preserve">risoluzione di una singola prenotazione</w:t>
      </w:r>
      <w:r>
        <w:rPr>
          <w:highlight w:val="none"/>
        </w:rPr>
        <w:t xml:space="preserve">, dovranno essere </w:t>
      </w:r>
      <w:r>
        <w:rPr>
          <w:b/>
          <w:bCs/>
          <w:highlight w:val="none"/>
          <w:u w:val="none"/>
        </w:rPr>
        <w:t xml:space="preserve">aggiornati i seguenti dati</w:t>
      </w:r>
      <w:r>
        <w:rPr>
          <w:highlight w:val="none"/>
        </w:rPr>
        <w:t xml:space="preserve">:</w:t>
      </w:r>
      <w:r>
        <w:rPr>
          <w:highlight w:val="none"/>
        </w:rPr>
      </w:r>
      <w:r>
        <w:rPr>
          <w:highlight w:val="none"/>
        </w:rPr>
      </w:r>
    </w:p>
    <w:p w14:paraId="63177463">
      <w:pPr>
        <w:pStyle w:val="928"/>
        <w:numPr>
          <w:ilvl w:val="0"/>
          <w:numId w:val="9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In </w:t>
      </w:r>
      <w:r>
        <w:rPr>
          <w:i/>
          <w:iCs/>
          <w:highlight w:val="none"/>
        </w:rPr>
        <w:t xml:space="preserve">Admin </w:t>
      </w:r>
      <w:r>
        <w:rPr>
          <w:highlight w:val="none"/>
        </w:rPr>
        <w:t xml:space="preserve">– </w:t>
      </w:r>
      <w:r>
        <w:rPr>
          <w:i/>
          <w:iCs/>
          <w:highlight w:val="none"/>
        </w:rPr>
        <w:t xml:space="preserve">Amministrazione </w:t>
      </w:r>
      <w:r>
        <w:rPr>
          <w:highlight w:val="none"/>
        </w:rPr>
      </w:r>
      <w:r>
        <w:rPr>
          <w:rFonts w:hint="default" w:ascii="Cambria Math" w:hAnsi="Cambria Math" w:eastAsia="Cambria Math" w:cs="Cambria Math"/>
          <w:i w:val="0"/>
          <w:iCs w:val="0"/>
          <w:highlight w:val="none"/>
        </w:rPr>
        <w:t xml:space="preserve">→</w:t>
      </w:r>
      <w:r/>
      <w:r>
        <w:rPr>
          <w:highlight w:val="none"/>
        </w:rPr>
        <w:t xml:space="preserve"> </w:t>
      </w:r>
      <w:r>
        <w:rPr>
          <w:i/>
          <w:iCs/>
          <w:highlight w:val="none"/>
        </w:rPr>
        <w:t xml:space="preserve">Wallet Sibylla</w:t>
      </w:r>
      <w:r>
        <w:rPr>
          <w:highlight w:val="none"/>
        </w:rPr>
        <w:t xml:space="preserve">: </w:t>
      </w:r>
      <w:r>
        <w:rPr>
          <w:i/>
          <w:iCs/>
          <w:highlight w:val="none"/>
        </w:rPr>
        <w:t xml:space="preserve">TOTALE COMMISSIONI SIBYLLA</w:t>
      </w:r>
      <w:r>
        <w:rPr>
          <w:highlight w:val="none"/>
        </w:rPr>
        <w:t xml:space="preserve">, </w:t>
      </w:r>
      <w:r>
        <w:rPr>
          <w:i/>
          <w:iCs/>
          <w:highlight w:val="none"/>
        </w:rPr>
        <w:t xml:space="preserve">N° VCC EMESSE</w:t>
      </w:r>
      <w:r>
        <w:rPr>
          <w:highlight w:val="none"/>
        </w:rPr>
        <w:t xml:space="preserve"> (in caso di modifica positiva per l’emissione della VCC integrativa</w:t>
      </w:r>
      <w:r>
        <w:rPr>
          <w:highlight w:val="none"/>
        </w:rPr>
        <w:t xml:space="preserve">), </w:t>
      </w:r>
      <w:r>
        <w:rPr>
          <w:i/>
          <w:iCs/>
          <w:highlight w:val="none"/>
        </w:rPr>
        <w:t xml:space="preserve">IMPORTO VCC EMESSE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2DBCFDAD">
      <w:pPr>
        <w:pStyle w:val="928"/>
        <w:numPr>
          <w:ilvl w:val="0"/>
          <w:numId w:val="9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In </w:t>
      </w:r>
      <w:r>
        <w:rPr>
          <w:i/>
          <w:iCs/>
          <w:highlight w:val="none"/>
        </w:rPr>
        <w:t xml:space="preserve">Admin </w:t>
      </w:r>
      <w:r>
        <w:rPr>
          <w:highlight w:val="none"/>
        </w:rPr>
        <w:t xml:space="preserve">– </w:t>
      </w:r>
      <w:r>
        <w:rPr>
          <w:i/>
          <w:iCs/>
          <w:highlight w:val="none"/>
        </w:rPr>
        <w:t xml:space="preserve">Amministrazione </w:t>
      </w:r>
      <w:r>
        <w:rPr>
          <w:highlight w:val="none"/>
        </w:rPr>
      </w:r>
      <w:r>
        <w:rPr>
          <w:rFonts w:hint="default" w:ascii="Cambria Math" w:hAnsi="Cambria Math" w:eastAsia="Cambria Math" w:cs="Cambria Math"/>
          <w:i w:val="0"/>
          <w:iCs w:val="0"/>
          <w:highlight w:val="none"/>
        </w:rPr>
        <w:t xml:space="preserve">→</w:t>
      </w:r>
      <w:r/>
      <w:r>
        <w:rPr>
          <w:highlight w:val="none"/>
        </w:rPr>
        <w:t xml:space="preserve"> </w:t>
      </w:r>
      <w:r>
        <w:rPr>
          <w:i/>
          <w:iCs/>
          <w:highlight w:val="none"/>
        </w:rPr>
        <w:t xml:space="preserve">Commissioni</w:t>
      </w:r>
      <w:r>
        <w:rPr>
          <w:highlight w:val="none"/>
        </w:rPr>
        <w:t xml:space="preserve">: </w:t>
      </w:r>
      <w:r>
        <w:rPr>
          <w:i/>
          <w:iCs/>
          <w:highlight w:val="none"/>
        </w:rPr>
        <w:t xml:space="preserve">Importo struttura</w:t>
      </w:r>
      <w:r>
        <w:rPr>
          <w:highlight w:val="none"/>
        </w:rPr>
        <w:t xml:space="preserve">, </w:t>
      </w:r>
      <w:r>
        <w:rPr>
          <w:i/>
          <w:iCs/>
          <w:highlight w:val="none"/>
        </w:rPr>
        <w:t xml:space="preserve">Commissione</w:t>
      </w:r>
      <w:r>
        <w:rPr>
          <w:highlight w:val="none"/>
        </w:rPr>
        <w:t xml:space="preserve">, </w:t>
      </w:r>
      <w:r>
        <w:rPr>
          <w:i/>
          <w:iCs/>
          <w:highlight w:val="none"/>
        </w:rPr>
        <w:t xml:space="preserve">Totale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 w14:paraId="014EFE5E">
      <w:pPr>
        <w:pStyle w:val="928"/>
        <w:numPr>
          <w:ilvl w:val="0"/>
          <w:numId w:val="9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In Crea Deposito: </w:t>
      </w:r>
      <w:r>
        <w:rPr>
          <w:i/>
          <w:iCs/>
          <w:highlight w:val="none"/>
        </w:rPr>
        <w:t xml:space="preserve">Residuo</w:t>
      </w:r>
      <w:r>
        <w:rPr>
          <w:highlight w:val="none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 w14:paraId="32E3880E">
      <w:pPr>
        <w:pStyle w:val="928"/>
        <w:numPr>
          <w:ilvl w:val="0"/>
          <w:numId w:val="9"/>
        </w:num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In Prenotazioni IDS:</w:t>
      </w:r>
      <w:r>
        <w:rPr>
          <w:highlight w:val="none"/>
        </w:rPr>
      </w:r>
      <w:r>
        <w:rPr>
          <w:highlight w:val="none"/>
        </w:rPr>
      </w:r>
    </w:p>
    <w:p w14:paraId="44510CB3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8C7566">
      <w:pPr>
        <w:pBdr/>
        <w:spacing w:after="0" w:afterAutospacing="0"/>
        <w:ind/>
        <w:contextualSpacing w:val="true"/>
        <w:jc w:val="both"/>
        <w:rPr>
          <w:highlight w:val="none"/>
        </w:rPr>
      </w:pPr>
      <w:r>
        <w:rPr>
          <w:highlight w:val="none"/>
        </w:rPr>
        <w:t xml:space="preserve">Per consentire all’Amministrazione di gestire ed avere evidenza della casistiche descritte nel presente documento, sarà necessario prevedere l’invio di una </w:t>
      </w:r>
      <w:r>
        <w:rPr>
          <w:b/>
          <w:bCs/>
          <w:highlight w:val="none"/>
        </w:rPr>
        <w:t xml:space="preserve">notifica </w:t>
      </w:r>
      <w:r>
        <w:rPr>
          <w:highlight w:val="none"/>
        </w:rPr>
        <w:t xml:space="preserve">che riporti il numero di casistiche scadute e che necessitano di un intervento (</w:t>
      </w:r>
      <w:r>
        <w:rPr>
          <w:i/>
          <w:iCs/>
          <w:highlight w:val="none"/>
        </w:rPr>
        <w:t xml:space="preserve">Data in</w:t>
      </w:r>
      <w:r>
        <w:rPr>
          <w:highlight w:val="none"/>
        </w:rPr>
        <w:t xml:space="preserve"> &lt; 0 E </w:t>
      </w:r>
      <w:r>
        <w:rPr>
          <w:i/>
          <w:iCs/>
          <w:highlight w:val="none"/>
        </w:rPr>
        <w:t xml:space="preserve">Delta importi</w:t>
      </w:r>
      <w:r>
        <w:rPr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0 E </w:t>
      </w: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Stato lavorazione</w:t>
      </w:r>
      <w:r/>
      <w:r>
        <w:rPr>
          <w:i/>
          <w:iCs/>
          <w:highlight w:val="none"/>
        </w:rPr>
        <w:t xml:space="preserve"> </w:t>
      </w:r>
      <w:r>
        <w:rPr>
          <w:rFonts w:hint="default" w:ascii="Arial" w:hAnsi="Arial" w:eastAsia="Arial" w:cs="Arial"/>
          <w:highlight w:val="none"/>
        </w:rPr>
        <w:t xml:space="preserve">≠</w:t>
      </w:r>
      <w:r>
        <w:rPr>
          <w:highlight w:val="none"/>
        </w:rPr>
        <w:t xml:space="preserve"> Risolto).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 Math">
    <w:panose1 w:val="02040503050406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64417"/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CAB80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E8CBBA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2B01C8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F9D7EC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9650B0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4D82CF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80727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376DE6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80727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875E0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5F466B1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9">
    <w:name w:val="Table Grid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Table Grid Light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1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2"/>
    <w:basedOn w:val="9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1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2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3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4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5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6"/>
    <w:basedOn w:val="9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1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2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3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4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5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6"/>
    <w:basedOn w:val="9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1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2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3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4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5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6"/>
    <w:basedOn w:val="9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5">
    <w:name w:val="Heading 1"/>
    <w:basedOn w:val="924"/>
    <w:next w:val="924"/>
    <w:link w:val="8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6">
    <w:name w:val="Heading 2"/>
    <w:basedOn w:val="924"/>
    <w:next w:val="924"/>
    <w:link w:val="8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67">
    <w:name w:val="Heading 3"/>
    <w:basedOn w:val="924"/>
    <w:next w:val="924"/>
    <w:link w:val="8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8">
    <w:name w:val="Heading 4"/>
    <w:basedOn w:val="924"/>
    <w:next w:val="924"/>
    <w:link w:val="8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9">
    <w:name w:val="Heading 5"/>
    <w:basedOn w:val="924"/>
    <w:next w:val="924"/>
    <w:link w:val="8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0">
    <w:name w:val="Heading 6"/>
    <w:basedOn w:val="924"/>
    <w:next w:val="924"/>
    <w:link w:val="8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1">
    <w:name w:val="Heading 7"/>
    <w:basedOn w:val="924"/>
    <w:next w:val="924"/>
    <w:link w:val="8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2">
    <w:name w:val="Heading 8"/>
    <w:basedOn w:val="924"/>
    <w:next w:val="924"/>
    <w:link w:val="8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3">
    <w:name w:val="Heading 9"/>
    <w:basedOn w:val="924"/>
    <w:next w:val="924"/>
    <w:link w:val="8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4" w:default="1">
    <w:name w:val="Default Paragraph Font"/>
    <w:uiPriority w:val="1"/>
    <w:semiHidden/>
    <w:unhideWhenUsed/>
    <w:pPr>
      <w:pBdr/>
      <w:spacing/>
      <w:ind/>
    </w:pPr>
  </w:style>
  <w:style w:type="character" w:styleId="875">
    <w:name w:val="Heading 1 Char"/>
    <w:basedOn w:val="874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6">
    <w:name w:val="Heading 2 Char"/>
    <w:basedOn w:val="874"/>
    <w:link w:val="8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7">
    <w:name w:val="Heading 3 Char"/>
    <w:basedOn w:val="874"/>
    <w:link w:val="8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8">
    <w:name w:val="Heading 4 Char"/>
    <w:basedOn w:val="874"/>
    <w:link w:val="8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9">
    <w:name w:val="Heading 5 Char"/>
    <w:basedOn w:val="874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0">
    <w:name w:val="Heading 6 Char"/>
    <w:basedOn w:val="874"/>
    <w:link w:val="8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1">
    <w:name w:val="Heading 7 Char"/>
    <w:basedOn w:val="874"/>
    <w:link w:val="8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2">
    <w:name w:val="Heading 8 Char"/>
    <w:basedOn w:val="874"/>
    <w:link w:val="8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3">
    <w:name w:val="Heading 9 Char"/>
    <w:basedOn w:val="874"/>
    <w:link w:val="8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Title"/>
    <w:basedOn w:val="924"/>
    <w:next w:val="924"/>
    <w:link w:val="8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5">
    <w:name w:val="Title Char"/>
    <w:basedOn w:val="874"/>
    <w:link w:val="8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6">
    <w:name w:val="Subtitle"/>
    <w:basedOn w:val="924"/>
    <w:next w:val="924"/>
    <w:link w:val="8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7">
    <w:name w:val="Subtitle Char"/>
    <w:basedOn w:val="874"/>
    <w:link w:val="8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8">
    <w:name w:val="Quote"/>
    <w:basedOn w:val="924"/>
    <w:next w:val="924"/>
    <w:link w:val="8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9">
    <w:name w:val="Quote Char"/>
    <w:basedOn w:val="874"/>
    <w:link w:val="8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Intense Emphasis"/>
    <w:basedOn w:val="8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1">
    <w:name w:val="Intense Quote"/>
    <w:basedOn w:val="924"/>
    <w:next w:val="924"/>
    <w:link w:val="89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2">
    <w:name w:val="Intense Quote Char"/>
    <w:basedOn w:val="874"/>
    <w:link w:val="89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3">
    <w:name w:val="Intense Reference"/>
    <w:basedOn w:val="8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4">
    <w:name w:val="Subtle Emphasis"/>
    <w:basedOn w:val="8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Emphasis"/>
    <w:basedOn w:val="874"/>
    <w:uiPriority w:val="20"/>
    <w:qFormat/>
    <w:pPr>
      <w:pBdr/>
      <w:spacing/>
      <w:ind/>
    </w:pPr>
    <w:rPr>
      <w:i/>
      <w:iCs/>
    </w:rPr>
  </w:style>
  <w:style w:type="character" w:styleId="896">
    <w:name w:val="Strong"/>
    <w:basedOn w:val="874"/>
    <w:uiPriority w:val="22"/>
    <w:qFormat/>
    <w:pPr>
      <w:pBdr/>
      <w:spacing/>
      <w:ind/>
    </w:pPr>
    <w:rPr>
      <w:b/>
      <w:bCs/>
    </w:rPr>
  </w:style>
  <w:style w:type="character" w:styleId="897">
    <w:name w:val="Subtle Reference"/>
    <w:basedOn w:val="8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8">
    <w:name w:val="Book Title"/>
    <w:basedOn w:val="8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9">
    <w:name w:val="Header"/>
    <w:basedOn w:val="924"/>
    <w:link w:val="90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0">
    <w:name w:val="Header Char"/>
    <w:basedOn w:val="874"/>
    <w:link w:val="899"/>
    <w:uiPriority w:val="99"/>
    <w:pPr>
      <w:pBdr/>
      <w:spacing/>
      <w:ind/>
    </w:pPr>
  </w:style>
  <w:style w:type="paragraph" w:styleId="901">
    <w:name w:val="Footer"/>
    <w:basedOn w:val="924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Footer Char"/>
    <w:basedOn w:val="874"/>
    <w:link w:val="901"/>
    <w:uiPriority w:val="99"/>
    <w:pPr>
      <w:pBdr/>
      <w:spacing/>
      <w:ind/>
    </w:pPr>
  </w:style>
  <w:style w:type="paragraph" w:styleId="903">
    <w:name w:val="Caption"/>
    <w:basedOn w:val="924"/>
    <w:next w:val="92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4">
    <w:name w:val="footnote text"/>
    <w:basedOn w:val="924"/>
    <w:link w:val="90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5">
    <w:name w:val="Footnote Text Char"/>
    <w:basedOn w:val="874"/>
    <w:link w:val="904"/>
    <w:uiPriority w:val="99"/>
    <w:semiHidden/>
    <w:pPr>
      <w:pBdr/>
      <w:spacing/>
      <w:ind/>
    </w:pPr>
    <w:rPr>
      <w:sz w:val="20"/>
      <w:szCs w:val="20"/>
    </w:rPr>
  </w:style>
  <w:style w:type="character" w:styleId="906">
    <w:name w:val="foot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paragraph" w:styleId="907">
    <w:name w:val="endnote text"/>
    <w:basedOn w:val="924"/>
    <w:link w:val="90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8">
    <w:name w:val="Endnote Text Char"/>
    <w:basedOn w:val="874"/>
    <w:link w:val="907"/>
    <w:uiPriority w:val="99"/>
    <w:semiHidden/>
    <w:pPr>
      <w:pBdr/>
      <w:spacing/>
      <w:ind/>
    </w:pPr>
    <w:rPr>
      <w:sz w:val="20"/>
      <w:szCs w:val="20"/>
    </w:rPr>
  </w:style>
  <w:style w:type="character" w:styleId="909">
    <w:name w:val="endnote reference"/>
    <w:basedOn w:val="874"/>
    <w:uiPriority w:val="99"/>
    <w:semiHidden/>
    <w:unhideWhenUsed/>
    <w:pPr>
      <w:pBdr/>
      <w:spacing/>
      <w:ind/>
    </w:pPr>
    <w:rPr>
      <w:vertAlign w:val="superscript"/>
    </w:rPr>
  </w:style>
  <w:style w:type="character" w:styleId="910">
    <w:name w:val="Hyperlink"/>
    <w:basedOn w:val="8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1">
    <w:name w:val="FollowedHyperlink"/>
    <w:basedOn w:val="8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2">
    <w:name w:val="toc 1"/>
    <w:basedOn w:val="924"/>
    <w:next w:val="924"/>
    <w:uiPriority w:val="39"/>
    <w:unhideWhenUsed/>
    <w:pPr>
      <w:pBdr/>
      <w:spacing w:after="100"/>
      <w:ind/>
    </w:pPr>
  </w:style>
  <w:style w:type="paragraph" w:styleId="913">
    <w:name w:val="toc 2"/>
    <w:basedOn w:val="924"/>
    <w:next w:val="924"/>
    <w:uiPriority w:val="39"/>
    <w:unhideWhenUsed/>
    <w:pPr>
      <w:pBdr/>
      <w:spacing w:after="100"/>
      <w:ind w:left="220"/>
    </w:pPr>
  </w:style>
  <w:style w:type="paragraph" w:styleId="914">
    <w:name w:val="toc 3"/>
    <w:basedOn w:val="924"/>
    <w:next w:val="924"/>
    <w:uiPriority w:val="39"/>
    <w:unhideWhenUsed/>
    <w:pPr>
      <w:pBdr/>
      <w:spacing w:after="100"/>
      <w:ind w:left="440"/>
    </w:pPr>
  </w:style>
  <w:style w:type="paragraph" w:styleId="915">
    <w:name w:val="toc 4"/>
    <w:basedOn w:val="924"/>
    <w:next w:val="924"/>
    <w:uiPriority w:val="39"/>
    <w:unhideWhenUsed/>
    <w:pPr>
      <w:pBdr/>
      <w:spacing w:after="100"/>
      <w:ind w:left="660"/>
    </w:pPr>
  </w:style>
  <w:style w:type="paragraph" w:styleId="916">
    <w:name w:val="toc 5"/>
    <w:basedOn w:val="924"/>
    <w:next w:val="924"/>
    <w:uiPriority w:val="39"/>
    <w:unhideWhenUsed/>
    <w:pPr>
      <w:pBdr/>
      <w:spacing w:after="100"/>
      <w:ind w:left="880"/>
    </w:pPr>
  </w:style>
  <w:style w:type="paragraph" w:styleId="917">
    <w:name w:val="toc 6"/>
    <w:basedOn w:val="924"/>
    <w:next w:val="924"/>
    <w:uiPriority w:val="39"/>
    <w:unhideWhenUsed/>
    <w:pPr>
      <w:pBdr/>
      <w:spacing w:after="100"/>
      <w:ind w:left="1100"/>
    </w:pPr>
  </w:style>
  <w:style w:type="paragraph" w:styleId="918">
    <w:name w:val="toc 7"/>
    <w:basedOn w:val="924"/>
    <w:next w:val="924"/>
    <w:uiPriority w:val="39"/>
    <w:unhideWhenUsed/>
    <w:pPr>
      <w:pBdr/>
      <w:spacing w:after="100"/>
      <w:ind w:left="1320"/>
    </w:pPr>
  </w:style>
  <w:style w:type="paragraph" w:styleId="919">
    <w:name w:val="toc 8"/>
    <w:basedOn w:val="924"/>
    <w:next w:val="924"/>
    <w:uiPriority w:val="39"/>
    <w:unhideWhenUsed/>
    <w:pPr>
      <w:pBdr/>
      <w:spacing w:after="100"/>
      <w:ind w:left="1540"/>
    </w:pPr>
  </w:style>
  <w:style w:type="paragraph" w:styleId="920">
    <w:name w:val="toc 9"/>
    <w:basedOn w:val="924"/>
    <w:next w:val="924"/>
    <w:uiPriority w:val="39"/>
    <w:unhideWhenUsed/>
    <w:pPr>
      <w:pBdr/>
      <w:spacing w:after="100"/>
      <w:ind w:left="1760"/>
    </w:pPr>
  </w:style>
  <w:style w:type="character" w:styleId="921">
    <w:name w:val="Placeholder Text"/>
    <w:basedOn w:val="874"/>
    <w:uiPriority w:val="99"/>
    <w:semiHidden/>
    <w:pPr>
      <w:pBdr/>
      <w:spacing/>
      <w:ind/>
    </w:pPr>
    <w:rPr>
      <w:color w:val="666666"/>
    </w:rPr>
  </w:style>
  <w:style w:type="paragraph" w:styleId="922">
    <w:name w:val="TOC Heading"/>
    <w:uiPriority w:val="39"/>
    <w:unhideWhenUsed/>
    <w:pPr>
      <w:pBdr/>
      <w:spacing/>
      <w:ind/>
    </w:pPr>
  </w:style>
  <w:style w:type="paragraph" w:styleId="923">
    <w:name w:val="table of figures"/>
    <w:basedOn w:val="924"/>
    <w:next w:val="924"/>
    <w:uiPriority w:val="99"/>
    <w:unhideWhenUsed/>
    <w:pPr>
      <w:pBdr/>
      <w:spacing w:after="0" w:afterAutospacing="0"/>
      <w:ind/>
    </w:pPr>
  </w:style>
  <w:style w:type="paragraph" w:styleId="924" w:default="1">
    <w:name w:val="Normal"/>
    <w:qFormat/>
    <w:pPr>
      <w:pBdr/>
      <w:spacing/>
      <w:ind/>
    </w:pPr>
  </w:style>
  <w:style w:type="table" w:styleId="9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6" w:default="1">
    <w:name w:val="No List"/>
    <w:uiPriority w:val="99"/>
    <w:semiHidden/>
    <w:unhideWhenUsed/>
    <w:pPr>
      <w:pBdr/>
      <w:spacing/>
      <w:ind/>
    </w:pPr>
  </w:style>
  <w:style w:type="paragraph" w:styleId="927">
    <w:name w:val="No Spacing"/>
    <w:basedOn w:val="924"/>
    <w:uiPriority w:val="1"/>
    <w:qFormat/>
    <w:pPr>
      <w:pBdr/>
      <w:spacing w:after="0" w:line="240" w:lineRule="auto"/>
      <w:ind/>
    </w:pPr>
  </w:style>
  <w:style w:type="paragraph" w:styleId="928">
    <w:name w:val="List Paragraph"/>
    <w:basedOn w:val="9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2026-10-01T14:28:27Z</dcterms:modified>
</cp:coreProperties>
</file>