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92DFE" w14:textId="0929F766" w:rsidR="00B5134B" w:rsidRDefault="00312739" w:rsidP="00B5134B">
      <w:pPr>
        <w:pStyle w:val="Title"/>
        <w:jc w:val="center"/>
        <w:rPr>
          <w:b/>
        </w:rPr>
      </w:pPr>
      <w:r>
        <w:rPr>
          <w:b/>
        </w:rPr>
        <w:t>Structured Tracking of Alcohol Reinforcement (STAR)</w:t>
      </w:r>
      <w:r w:rsidR="00B5134B">
        <w:rPr>
          <w:b/>
        </w:rPr>
        <w:t xml:space="preserve"> SOP</w:t>
      </w:r>
    </w:p>
    <w:p w14:paraId="0846406B" w14:textId="51C57F1D" w:rsidR="00B5134B" w:rsidRDefault="00B5134B" w:rsidP="008561EA">
      <w:pPr>
        <w:pStyle w:val="Subtitle"/>
        <w:jc w:val="center"/>
        <w:rPr>
          <w:rStyle w:val="Strong"/>
          <w:color w:val="auto"/>
        </w:rPr>
      </w:pPr>
      <w:r w:rsidRPr="00BC4814">
        <w:rPr>
          <w:rStyle w:val="Strong"/>
          <w:color w:val="auto"/>
        </w:rPr>
        <w:t>Developed by the Siciliano Lab, Vanderbilt University, Department of Pharmacology</w:t>
      </w:r>
    </w:p>
    <w:sdt>
      <w:sdtPr>
        <w:rPr>
          <w:rFonts w:asciiTheme="minorHAnsi" w:eastAsiaTheme="minorHAnsi" w:hAnsiTheme="minorHAnsi" w:cstheme="minorBidi"/>
          <w:color w:val="auto"/>
          <w:sz w:val="22"/>
          <w:szCs w:val="22"/>
        </w:rPr>
        <w:id w:val="973715448"/>
        <w:docPartObj>
          <w:docPartGallery w:val="Table of Contents"/>
          <w:docPartUnique/>
        </w:docPartObj>
      </w:sdtPr>
      <w:sdtEndPr>
        <w:rPr>
          <w:b/>
          <w:bCs/>
          <w:noProof/>
        </w:rPr>
      </w:sdtEndPr>
      <w:sdtContent>
        <w:p w14:paraId="6B964A1D" w14:textId="6E28B3F3" w:rsidR="001C3437" w:rsidRDefault="001C3437">
          <w:pPr>
            <w:pStyle w:val="TOCHeading"/>
          </w:pPr>
          <w:r>
            <w:t>Contents</w:t>
          </w:r>
        </w:p>
        <w:p w14:paraId="141FC660" w14:textId="4D291B8A" w:rsidR="00825982" w:rsidRDefault="001C343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7860038" w:history="1">
            <w:r w:rsidR="00825982" w:rsidRPr="002636EC">
              <w:rPr>
                <w:rStyle w:val="Hyperlink"/>
                <w:noProof/>
              </w:rPr>
              <w:t>Overview</w:t>
            </w:r>
            <w:r w:rsidR="00825982">
              <w:rPr>
                <w:noProof/>
                <w:webHidden/>
              </w:rPr>
              <w:tab/>
            </w:r>
            <w:r w:rsidR="00825982">
              <w:rPr>
                <w:noProof/>
                <w:webHidden/>
              </w:rPr>
              <w:fldChar w:fldCharType="begin"/>
            </w:r>
            <w:r w:rsidR="00825982">
              <w:rPr>
                <w:noProof/>
                <w:webHidden/>
              </w:rPr>
              <w:instrText xml:space="preserve"> PAGEREF _Toc77860038 \h </w:instrText>
            </w:r>
            <w:r w:rsidR="00825982">
              <w:rPr>
                <w:noProof/>
                <w:webHidden/>
              </w:rPr>
            </w:r>
            <w:r w:rsidR="00825982">
              <w:rPr>
                <w:noProof/>
                <w:webHidden/>
              </w:rPr>
              <w:fldChar w:fldCharType="separate"/>
            </w:r>
            <w:r w:rsidR="00567381">
              <w:rPr>
                <w:noProof/>
                <w:webHidden/>
              </w:rPr>
              <w:t>2</w:t>
            </w:r>
            <w:r w:rsidR="00825982">
              <w:rPr>
                <w:noProof/>
                <w:webHidden/>
              </w:rPr>
              <w:fldChar w:fldCharType="end"/>
            </w:r>
          </w:hyperlink>
        </w:p>
        <w:p w14:paraId="220A04BA" w14:textId="36EB1AB2" w:rsidR="00825982" w:rsidRDefault="00300433">
          <w:pPr>
            <w:pStyle w:val="TOC1"/>
            <w:tabs>
              <w:tab w:val="right" w:leader="dot" w:pos="9350"/>
            </w:tabs>
            <w:rPr>
              <w:rFonts w:eastAsiaTheme="minorEastAsia"/>
              <w:noProof/>
            </w:rPr>
          </w:pPr>
          <w:hyperlink w:anchor="_Toc77860039" w:history="1">
            <w:r w:rsidR="00825982" w:rsidRPr="002636EC">
              <w:rPr>
                <w:rStyle w:val="Hyperlink"/>
                <w:noProof/>
              </w:rPr>
              <w:t>General Experimental Guidelines</w:t>
            </w:r>
            <w:r w:rsidR="00825982">
              <w:rPr>
                <w:noProof/>
                <w:webHidden/>
              </w:rPr>
              <w:tab/>
            </w:r>
            <w:r w:rsidR="00825982">
              <w:rPr>
                <w:noProof/>
                <w:webHidden/>
              </w:rPr>
              <w:fldChar w:fldCharType="begin"/>
            </w:r>
            <w:r w:rsidR="00825982">
              <w:rPr>
                <w:noProof/>
                <w:webHidden/>
              </w:rPr>
              <w:instrText xml:space="preserve"> PAGEREF _Toc77860039 \h </w:instrText>
            </w:r>
            <w:r w:rsidR="00825982">
              <w:rPr>
                <w:noProof/>
                <w:webHidden/>
              </w:rPr>
            </w:r>
            <w:r w:rsidR="00825982">
              <w:rPr>
                <w:noProof/>
                <w:webHidden/>
              </w:rPr>
              <w:fldChar w:fldCharType="separate"/>
            </w:r>
            <w:r w:rsidR="00567381">
              <w:rPr>
                <w:noProof/>
                <w:webHidden/>
              </w:rPr>
              <w:t>2</w:t>
            </w:r>
            <w:r w:rsidR="00825982">
              <w:rPr>
                <w:noProof/>
                <w:webHidden/>
              </w:rPr>
              <w:fldChar w:fldCharType="end"/>
            </w:r>
          </w:hyperlink>
        </w:p>
        <w:p w14:paraId="756421B8" w14:textId="6DB8F811" w:rsidR="00825982" w:rsidRDefault="00300433">
          <w:pPr>
            <w:pStyle w:val="TOC2"/>
            <w:tabs>
              <w:tab w:val="right" w:leader="dot" w:pos="9350"/>
            </w:tabs>
            <w:rPr>
              <w:rFonts w:eastAsiaTheme="minorEastAsia"/>
              <w:noProof/>
            </w:rPr>
          </w:pPr>
          <w:hyperlink w:anchor="_Toc77860040" w:history="1">
            <w:r w:rsidR="00825982" w:rsidRPr="002636EC">
              <w:rPr>
                <w:rStyle w:val="Hyperlink"/>
                <w:noProof/>
              </w:rPr>
              <w:t>Consistency</w:t>
            </w:r>
            <w:r w:rsidR="00825982">
              <w:rPr>
                <w:noProof/>
                <w:webHidden/>
              </w:rPr>
              <w:tab/>
            </w:r>
            <w:r w:rsidR="00825982">
              <w:rPr>
                <w:noProof/>
                <w:webHidden/>
              </w:rPr>
              <w:fldChar w:fldCharType="begin"/>
            </w:r>
            <w:r w:rsidR="00825982">
              <w:rPr>
                <w:noProof/>
                <w:webHidden/>
              </w:rPr>
              <w:instrText xml:space="preserve"> PAGEREF _Toc77860040 \h </w:instrText>
            </w:r>
            <w:r w:rsidR="00825982">
              <w:rPr>
                <w:noProof/>
                <w:webHidden/>
              </w:rPr>
            </w:r>
            <w:r w:rsidR="00825982">
              <w:rPr>
                <w:noProof/>
                <w:webHidden/>
              </w:rPr>
              <w:fldChar w:fldCharType="separate"/>
            </w:r>
            <w:r w:rsidR="00567381">
              <w:rPr>
                <w:noProof/>
                <w:webHidden/>
              </w:rPr>
              <w:t>2</w:t>
            </w:r>
            <w:r w:rsidR="00825982">
              <w:rPr>
                <w:noProof/>
                <w:webHidden/>
              </w:rPr>
              <w:fldChar w:fldCharType="end"/>
            </w:r>
          </w:hyperlink>
        </w:p>
        <w:p w14:paraId="1D6E7AFE" w14:textId="79A88854" w:rsidR="00825982" w:rsidRDefault="00300433">
          <w:pPr>
            <w:pStyle w:val="TOC2"/>
            <w:tabs>
              <w:tab w:val="right" w:leader="dot" w:pos="9350"/>
            </w:tabs>
            <w:rPr>
              <w:rFonts w:eastAsiaTheme="minorEastAsia"/>
              <w:noProof/>
            </w:rPr>
          </w:pPr>
          <w:hyperlink w:anchor="_Toc77860041" w:history="1">
            <w:r w:rsidR="00825982" w:rsidRPr="002636EC">
              <w:rPr>
                <w:rStyle w:val="Hyperlink"/>
                <w:noProof/>
              </w:rPr>
              <w:t>Timeline</w:t>
            </w:r>
            <w:r w:rsidR="00825982">
              <w:rPr>
                <w:noProof/>
                <w:webHidden/>
              </w:rPr>
              <w:tab/>
            </w:r>
            <w:r w:rsidR="00825982">
              <w:rPr>
                <w:noProof/>
                <w:webHidden/>
              </w:rPr>
              <w:fldChar w:fldCharType="begin"/>
            </w:r>
            <w:r w:rsidR="00825982">
              <w:rPr>
                <w:noProof/>
                <w:webHidden/>
              </w:rPr>
              <w:instrText xml:space="preserve"> PAGEREF _Toc77860041 \h </w:instrText>
            </w:r>
            <w:r w:rsidR="00825982">
              <w:rPr>
                <w:noProof/>
                <w:webHidden/>
              </w:rPr>
            </w:r>
            <w:r w:rsidR="00825982">
              <w:rPr>
                <w:noProof/>
                <w:webHidden/>
              </w:rPr>
              <w:fldChar w:fldCharType="separate"/>
            </w:r>
            <w:r w:rsidR="00567381">
              <w:rPr>
                <w:noProof/>
                <w:webHidden/>
              </w:rPr>
              <w:t>2</w:t>
            </w:r>
            <w:r w:rsidR="00825982">
              <w:rPr>
                <w:noProof/>
                <w:webHidden/>
              </w:rPr>
              <w:fldChar w:fldCharType="end"/>
            </w:r>
          </w:hyperlink>
        </w:p>
        <w:p w14:paraId="32713286" w14:textId="2AC01B97" w:rsidR="00825982" w:rsidRDefault="00300433">
          <w:pPr>
            <w:pStyle w:val="TOC2"/>
            <w:tabs>
              <w:tab w:val="right" w:leader="dot" w:pos="9350"/>
            </w:tabs>
            <w:rPr>
              <w:rFonts w:eastAsiaTheme="minorEastAsia"/>
              <w:noProof/>
            </w:rPr>
          </w:pPr>
          <w:hyperlink w:anchor="_Toc77860042" w:history="1">
            <w:r w:rsidR="00825982" w:rsidRPr="002636EC">
              <w:rPr>
                <w:rStyle w:val="Hyperlink"/>
                <w:noProof/>
              </w:rPr>
              <w:t>Solution Making</w:t>
            </w:r>
            <w:r w:rsidR="00825982">
              <w:rPr>
                <w:noProof/>
                <w:webHidden/>
              </w:rPr>
              <w:tab/>
            </w:r>
            <w:r w:rsidR="00825982">
              <w:rPr>
                <w:noProof/>
                <w:webHidden/>
              </w:rPr>
              <w:fldChar w:fldCharType="begin"/>
            </w:r>
            <w:r w:rsidR="00825982">
              <w:rPr>
                <w:noProof/>
                <w:webHidden/>
              </w:rPr>
              <w:instrText xml:space="preserve"> PAGEREF _Toc77860042 \h </w:instrText>
            </w:r>
            <w:r w:rsidR="00825982">
              <w:rPr>
                <w:noProof/>
                <w:webHidden/>
              </w:rPr>
            </w:r>
            <w:r w:rsidR="00825982">
              <w:rPr>
                <w:noProof/>
                <w:webHidden/>
              </w:rPr>
              <w:fldChar w:fldCharType="separate"/>
            </w:r>
            <w:r w:rsidR="00567381">
              <w:rPr>
                <w:noProof/>
                <w:webHidden/>
              </w:rPr>
              <w:t>2</w:t>
            </w:r>
            <w:r w:rsidR="00825982">
              <w:rPr>
                <w:noProof/>
                <w:webHidden/>
              </w:rPr>
              <w:fldChar w:fldCharType="end"/>
            </w:r>
          </w:hyperlink>
        </w:p>
        <w:p w14:paraId="3BAC06C3" w14:textId="433EB69B" w:rsidR="00825982" w:rsidRDefault="00300433">
          <w:pPr>
            <w:pStyle w:val="TOC2"/>
            <w:tabs>
              <w:tab w:val="right" w:leader="dot" w:pos="9350"/>
            </w:tabs>
            <w:rPr>
              <w:rFonts w:eastAsiaTheme="minorEastAsia"/>
              <w:noProof/>
            </w:rPr>
          </w:pPr>
          <w:hyperlink w:anchor="_Toc77860043" w:history="1">
            <w:r w:rsidR="00825982" w:rsidRPr="002636EC">
              <w:rPr>
                <w:rStyle w:val="Hyperlink"/>
                <w:noProof/>
              </w:rPr>
              <w:t>Box Cleaning</w:t>
            </w:r>
            <w:r w:rsidR="00825982">
              <w:rPr>
                <w:noProof/>
                <w:webHidden/>
              </w:rPr>
              <w:tab/>
            </w:r>
            <w:r w:rsidR="00825982">
              <w:rPr>
                <w:noProof/>
                <w:webHidden/>
              </w:rPr>
              <w:fldChar w:fldCharType="begin"/>
            </w:r>
            <w:r w:rsidR="00825982">
              <w:rPr>
                <w:noProof/>
                <w:webHidden/>
              </w:rPr>
              <w:instrText xml:space="preserve"> PAGEREF _Toc77860043 \h </w:instrText>
            </w:r>
            <w:r w:rsidR="00825982">
              <w:rPr>
                <w:noProof/>
                <w:webHidden/>
              </w:rPr>
            </w:r>
            <w:r w:rsidR="00825982">
              <w:rPr>
                <w:noProof/>
                <w:webHidden/>
              </w:rPr>
              <w:fldChar w:fldCharType="separate"/>
            </w:r>
            <w:r w:rsidR="00567381">
              <w:rPr>
                <w:noProof/>
                <w:webHidden/>
              </w:rPr>
              <w:t>2</w:t>
            </w:r>
            <w:r w:rsidR="00825982">
              <w:rPr>
                <w:noProof/>
                <w:webHidden/>
              </w:rPr>
              <w:fldChar w:fldCharType="end"/>
            </w:r>
          </w:hyperlink>
        </w:p>
        <w:p w14:paraId="518C36A3" w14:textId="34B80DDE" w:rsidR="00825982" w:rsidRDefault="00300433">
          <w:pPr>
            <w:pStyle w:val="TOC1"/>
            <w:tabs>
              <w:tab w:val="right" w:leader="dot" w:pos="9350"/>
            </w:tabs>
            <w:rPr>
              <w:rFonts w:eastAsiaTheme="minorEastAsia"/>
              <w:noProof/>
            </w:rPr>
          </w:pPr>
          <w:hyperlink w:anchor="_Toc77860044" w:history="1">
            <w:r w:rsidR="00825982" w:rsidRPr="002636EC">
              <w:rPr>
                <w:rStyle w:val="Hyperlink"/>
                <w:noProof/>
              </w:rPr>
              <w:t>Materials</w:t>
            </w:r>
            <w:r w:rsidR="00825982">
              <w:rPr>
                <w:noProof/>
                <w:webHidden/>
              </w:rPr>
              <w:tab/>
            </w:r>
            <w:r w:rsidR="00825982">
              <w:rPr>
                <w:noProof/>
                <w:webHidden/>
              </w:rPr>
              <w:fldChar w:fldCharType="begin"/>
            </w:r>
            <w:r w:rsidR="00825982">
              <w:rPr>
                <w:noProof/>
                <w:webHidden/>
              </w:rPr>
              <w:instrText xml:space="preserve"> PAGEREF _Toc77860044 \h </w:instrText>
            </w:r>
            <w:r w:rsidR="00825982">
              <w:rPr>
                <w:noProof/>
                <w:webHidden/>
              </w:rPr>
            </w:r>
            <w:r w:rsidR="00825982">
              <w:rPr>
                <w:noProof/>
                <w:webHidden/>
              </w:rPr>
              <w:fldChar w:fldCharType="separate"/>
            </w:r>
            <w:r w:rsidR="00567381">
              <w:rPr>
                <w:noProof/>
                <w:webHidden/>
              </w:rPr>
              <w:t>2</w:t>
            </w:r>
            <w:r w:rsidR="00825982">
              <w:rPr>
                <w:noProof/>
                <w:webHidden/>
              </w:rPr>
              <w:fldChar w:fldCharType="end"/>
            </w:r>
          </w:hyperlink>
        </w:p>
        <w:p w14:paraId="0B18F637" w14:textId="4878F5BC" w:rsidR="00825982" w:rsidRDefault="00300433">
          <w:pPr>
            <w:pStyle w:val="TOC2"/>
            <w:tabs>
              <w:tab w:val="right" w:leader="dot" w:pos="9350"/>
            </w:tabs>
            <w:rPr>
              <w:rFonts w:eastAsiaTheme="minorEastAsia"/>
              <w:noProof/>
            </w:rPr>
          </w:pPr>
          <w:hyperlink w:anchor="_Toc77860045" w:history="1">
            <w:r w:rsidR="00825982" w:rsidRPr="002636EC">
              <w:rPr>
                <w:rStyle w:val="Hyperlink"/>
                <w:noProof/>
              </w:rPr>
              <w:t>Operant Box Parts</w:t>
            </w:r>
            <w:r w:rsidR="00825982">
              <w:rPr>
                <w:noProof/>
                <w:webHidden/>
              </w:rPr>
              <w:tab/>
            </w:r>
            <w:r w:rsidR="00825982">
              <w:rPr>
                <w:noProof/>
                <w:webHidden/>
              </w:rPr>
              <w:fldChar w:fldCharType="begin"/>
            </w:r>
            <w:r w:rsidR="00825982">
              <w:rPr>
                <w:noProof/>
                <w:webHidden/>
              </w:rPr>
              <w:instrText xml:space="preserve"> PAGEREF _Toc77860045 \h </w:instrText>
            </w:r>
            <w:r w:rsidR="00825982">
              <w:rPr>
                <w:noProof/>
                <w:webHidden/>
              </w:rPr>
            </w:r>
            <w:r w:rsidR="00825982">
              <w:rPr>
                <w:noProof/>
                <w:webHidden/>
              </w:rPr>
              <w:fldChar w:fldCharType="separate"/>
            </w:r>
            <w:r w:rsidR="00567381">
              <w:rPr>
                <w:noProof/>
                <w:webHidden/>
              </w:rPr>
              <w:t>2</w:t>
            </w:r>
            <w:r w:rsidR="00825982">
              <w:rPr>
                <w:noProof/>
                <w:webHidden/>
              </w:rPr>
              <w:fldChar w:fldCharType="end"/>
            </w:r>
          </w:hyperlink>
        </w:p>
        <w:p w14:paraId="57AA5E24" w14:textId="0E2F8178" w:rsidR="00825982" w:rsidRDefault="00300433">
          <w:pPr>
            <w:pStyle w:val="TOC2"/>
            <w:tabs>
              <w:tab w:val="right" w:leader="dot" w:pos="9350"/>
            </w:tabs>
            <w:rPr>
              <w:rFonts w:eastAsiaTheme="minorEastAsia"/>
              <w:noProof/>
            </w:rPr>
          </w:pPr>
          <w:hyperlink w:anchor="_Toc77860046" w:history="1">
            <w:r w:rsidR="00825982" w:rsidRPr="002636EC">
              <w:rPr>
                <w:rStyle w:val="Hyperlink"/>
                <w:noProof/>
              </w:rPr>
              <w:t>Two-Bottle Choice (2BC)</w:t>
            </w:r>
            <w:r w:rsidR="00825982">
              <w:rPr>
                <w:noProof/>
                <w:webHidden/>
              </w:rPr>
              <w:tab/>
            </w:r>
            <w:r w:rsidR="00825982">
              <w:rPr>
                <w:noProof/>
                <w:webHidden/>
              </w:rPr>
              <w:fldChar w:fldCharType="begin"/>
            </w:r>
            <w:r w:rsidR="00825982">
              <w:rPr>
                <w:noProof/>
                <w:webHidden/>
              </w:rPr>
              <w:instrText xml:space="preserve"> PAGEREF _Toc77860046 \h </w:instrText>
            </w:r>
            <w:r w:rsidR="00825982">
              <w:rPr>
                <w:noProof/>
                <w:webHidden/>
              </w:rPr>
            </w:r>
            <w:r w:rsidR="00825982">
              <w:rPr>
                <w:noProof/>
                <w:webHidden/>
              </w:rPr>
              <w:fldChar w:fldCharType="separate"/>
            </w:r>
            <w:r w:rsidR="00567381">
              <w:rPr>
                <w:noProof/>
                <w:webHidden/>
              </w:rPr>
              <w:t>3</w:t>
            </w:r>
            <w:r w:rsidR="00825982">
              <w:rPr>
                <w:noProof/>
                <w:webHidden/>
              </w:rPr>
              <w:fldChar w:fldCharType="end"/>
            </w:r>
          </w:hyperlink>
        </w:p>
        <w:p w14:paraId="3DEA73D4" w14:textId="77EEFDC0" w:rsidR="00825982" w:rsidRDefault="00300433">
          <w:pPr>
            <w:pStyle w:val="TOC2"/>
            <w:tabs>
              <w:tab w:val="right" w:leader="dot" w:pos="9350"/>
            </w:tabs>
            <w:rPr>
              <w:rFonts w:eastAsiaTheme="minorEastAsia"/>
              <w:noProof/>
            </w:rPr>
          </w:pPr>
          <w:hyperlink w:anchor="_Toc77860047" w:history="1">
            <w:r w:rsidR="00825982" w:rsidRPr="002636EC">
              <w:rPr>
                <w:rStyle w:val="Hyperlink"/>
                <w:noProof/>
              </w:rPr>
              <w:t>Solutions/Chemicals</w:t>
            </w:r>
            <w:r w:rsidR="00825982">
              <w:rPr>
                <w:noProof/>
                <w:webHidden/>
              </w:rPr>
              <w:tab/>
            </w:r>
            <w:r w:rsidR="00825982">
              <w:rPr>
                <w:noProof/>
                <w:webHidden/>
              </w:rPr>
              <w:fldChar w:fldCharType="begin"/>
            </w:r>
            <w:r w:rsidR="00825982">
              <w:rPr>
                <w:noProof/>
                <w:webHidden/>
              </w:rPr>
              <w:instrText xml:space="preserve"> PAGEREF _Toc77860047 \h </w:instrText>
            </w:r>
            <w:r w:rsidR="00825982">
              <w:rPr>
                <w:noProof/>
                <w:webHidden/>
              </w:rPr>
            </w:r>
            <w:r w:rsidR="00825982">
              <w:rPr>
                <w:noProof/>
                <w:webHidden/>
              </w:rPr>
              <w:fldChar w:fldCharType="separate"/>
            </w:r>
            <w:r w:rsidR="00567381">
              <w:rPr>
                <w:noProof/>
                <w:webHidden/>
              </w:rPr>
              <w:t>3</w:t>
            </w:r>
            <w:r w:rsidR="00825982">
              <w:rPr>
                <w:noProof/>
                <w:webHidden/>
              </w:rPr>
              <w:fldChar w:fldCharType="end"/>
            </w:r>
          </w:hyperlink>
        </w:p>
        <w:p w14:paraId="666A634E" w14:textId="0ABBFBCF" w:rsidR="00825982" w:rsidRDefault="00300433">
          <w:pPr>
            <w:pStyle w:val="TOC1"/>
            <w:tabs>
              <w:tab w:val="right" w:leader="dot" w:pos="9350"/>
            </w:tabs>
            <w:rPr>
              <w:rFonts w:eastAsiaTheme="minorEastAsia"/>
              <w:noProof/>
            </w:rPr>
          </w:pPr>
          <w:hyperlink w:anchor="_Toc77860048" w:history="1">
            <w:r w:rsidR="00825982" w:rsidRPr="002636EC">
              <w:rPr>
                <w:rStyle w:val="Hyperlink"/>
                <w:noProof/>
              </w:rPr>
              <w:t>Operant Behavior SOP</w:t>
            </w:r>
            <w:r w:rsidR="00825982">
              <w:rPr>
                <w:noProof/>
                <w:webHidden/>
              </w:rPr>
              <w:tab/>
            </w:r>
            <w:r w:rsidR="00825982">
              <w:rPr>
                <w:noProof/>
                <w:webHidden/>
              </w:rPr>
              <w:fldChar w:fldCharType="begin"/>
            </w:r>
            <w:r w:rsidR="00825982">
              <w:rPr>
                <w:noProof/>
                <w:webHidden/>
              </w:rPr>
              <w:instrText xml:space="preserve"> PAGEREF _Toc77860048 \h </w:instrText>
            </w:r>
            <w:r w:rsidR="00825982">
              <w:rPr>
                <w:noProof/>
                <w:webHidden/>
              </w:rPr>
            </w:r>
            <w:r w:rsidR="00825982">
              <w:rPr>
                <w:noProof/>
                <w:webHidden/>
              </w:rPr>
              <w:fldChar w:fldCharType="separate"/>
            </w:r>
            <w:r w:rsidR="00567381">
              <w:rPr>
                <w:noProof/>
                <w:webHidden/>
              </w:rPr>
              <w:t>4</w:t>
            </w:r>
            <w:r w:rsidR="00825982">
              <w:rPr>
                <w:noProof/>
                <w:webHidden/>
              </w:rPr>
              <w:fldChar w:fldCharType="end"/>
            </w:r>
          </w:hyperlink>
        </w:p>
        <w:p w14:paraId="1A7098A1" w14:textId="719BD0E3" w:rsidR="00825982" w:rsidRDefault="00300433">
          <w:pPr>
            <w:pStyle w:val="TOC2"/>
            <w:tabs>
              <w:tab w:val="right" w:leader="dot" w:pos="9350"/>
            </w:tabs>
            <w:rPr>
              <w:rFonts w:eastAsiaTheme="minorEastAsia"/>
              <w:noProof/>
            </w:rPr>
          </w:pPr>
          <w:hyperlink w:anchor="_Toc77860049" w:history="1">
            <w:r w:rsidR="00825982" w:rsidRPr="002636EC">
              <w:rPr>
                <w:rStyle w:val="Hyperlink"/>
                <w:noProof/>
              </w:rPr>
              <w:t>Overview</w:t>
            </w:r>
            <w:r w:rsidR="00825982">
              <w:rPr>
                <w:noProof/>
                <w:webHidden/>
              </w:rPr>
              <w:tab/>
            </w:r>
            <w:r w:rsidR="00825982">
              <w:rPr>
                <w:noProof/>
                <w:webHidden/>
              </w:rPr>
              <w:fldChar w:fldCharType="begin"/>
            </w:r>
            <w:r w:rsidR="00825982">
              <w:rPr>
                <w:noProof/>
                <w:webHidden/>
              </w:rPr>
              <w:instrText xml:space="preserve"> PAGEREF _Toc77860049 \h </w:instrText>
            </w:r>
            <w:r w:rsidR="00825982">
              <w:rPr>
                <w:noProof/>
                <w:webHidden/>
              </w:rPr>
            </w:r>
            <w:r w:rsidR="00825982">
              <w:rPr>
                <w:noProof/>
                <w:webHidden/>
              </w:rPr>
              <w:fldChar w:fldCharType="separate"/>
            </w:r>
            <w:r w:rsidR="00567381">
              <w:rPr>
                <w:noProof/>
                <w:webHidden/>
              </w:rPr>
              <w:t>4</w:t>
            </w:r>
            <w:r w:rsidR="00825982">
              <w:rPr>
                <w:noProof/>
                <w:webHidden/>
              </w:rPr>
              <w:fldChar w:fldCharType="end"/>
            </w:r>
          </w:hyperlink>
        </w:p>
        <w:p w14:paraId="6C9C248A" w14:textId="625D0E6B" w:rsidR="00825982" w:rsidRDefault="00300433">
          <w:pPr>
            <w:pStyle w:val="TOC2"/>
            <w:tabs>
              <w:tab w:val="right" w:leader="dot" w:pos="9350"/>
            </w:tabs>
            <w:rPr>
              <w:rFonts w:eastAsiaTheme="minorEastAsia"/>
              <w:noProof/>
            </w:rPr>
          </w:pPr>
          <w:hyperlink w:anchor="_Toc77860050" w:history="1">
            <w:r w:rsidR="00825982" w:rsidRPr="002636EC">
              <w:rPr>
                <w:rStyle w:val="Hyperlink"/>
                <w:noProof/>
              </w:rPr>
              <w:t>Step-by-Step Guide</w:t>
            </w:r>
            <w:r w:rsidR="00825982">
              <w:rPr>
                <w:noProof/>
                <w:webHidden/>
              </w:rPr>
              <w:tab/>
            </w:r>
            <w:r w:rsidR="00825982">
              <w:rPr>
                <w:noProof/>
                <w:webHidden/>
              </w:rPr>
              <w:fldChar w:fldCharType="begin"/>
            </w:r>
            <w:r w:rsidR="00825982">
              <w:rPr>
                <w:noProof/>
                <w:webHidden/>
              </w:rPr>
              <w:instrText xml:space="preserve"> PAGEREF _Toc77860050 \h </w:instrText>
            </w:r>
            <w:r w:rsidR="00825982">
              <w:rPr>
                <w:noProof/>
                <w:webHidden/>
              </w:rPr>
            </w:r>
            <w:r w:rsidR="00825982">
              <w:rPr>
                <w:noProof/>
                <w:webHidden/>
              </w:rPr>
              <w:fldChar w:fldCharType="separate"/>
            </w:r>
            <w:r w:rsidR="00567381">
              <w:rPr>
                <w:noProof/>
                <w:webHidden/>
              </w:rPr>
              <w:t>4</w:t>
            </w:r>
            <w:r w:rsidR="00825982">
              <w:rPr>
                <w:noProof/>
                <w:webHidden/>
              </w:rPr>
              <w:fldChar w:fldCharType="end"/>
            </w:r>
          </w:hyperlink>
        </w:p>
        <w:p w14:paraId="3D32A9FC" w14:textId="2391A1F7" w:rsidR="00825982" w:rsidRDefault="00300433">
          <w:pPr>
            <w:pStyle w:val="TOC1"/>
            <w:tabs>
              <w:tab w:val="right" w:leader="dot" w:pos="9350"/>
            </w:tabs>
            <w:rPr>
              <w:rFonts w:eastAsiaTheme="minorEastAsia"/>
              <w:noProof/>
            </w:rPr>
          </w:pPr>
          <w:hyperlink w:anchor="_Toc77860051" w:history="1">
            <w:r w:rsidR="00825982" w:rsidRPr="002636EC">
              <w:rPr>
                <w:rStyle w:val="Hyperlink"/>
                <w:noProof/>
              </w:rPr>
              <w:t>Two-Bottle Choice (2BC) Behavior SOP</w:t>
            </w:r>
            <w:r w:rsidR="00825982">
              <w:rPr>
                <w:noProof/>
                <w:webHidden/>
              </w:rPr>
              <w:tab/>
            </w:r>
            <w:r w:rsidR="00825982">
              <w:rPr>
                <w:noProof/>
                <w:webHidden/>
              </w:rPr>
              <w:fldChar w:fldCharType="begin"/>
            </w:r>
            <w:r w:rsidR="00825982">
              <w:rPr>
                <w:noProof/>
                <w:webHidden/>
              </w:rPr>
              <w:instrText xml:space="preserve"> PAGEREF _Toc77860051 \h </w:instrText>
            </w:r>
            <w:r w:rsidR="00825982">
              <w:rPr>
                <w:noProof/>
                <w:webHidden/>
              </w:rPr>
            </w:r>
            <w:r w:rsidR="00825982">
              <w:rPr>
                <w:noProof/>
                <w:webHidden/>
              </w:rPr>
              <w:fldChar w:fldCharType="separate"/>
            </w:r>
            <w:r w:rsidR="00567381">
              <w:rPr>
                <w:noProof/>
                <w:webHidden/>
              </w:rPr>
              <w:t>6</w:t>
            </w:r>
            <w:r w:rsidR="00825982">
              <w:rPr>
                <w:noProof/>
                <w:webHidden/>
              </w:rPr>
              <w:fldChar w:fldCharType="end"/>
            </w:r>
          </w:hyperlink>
        </w:p>
        <w:p w14:paraId="5BAFF918" w14:textId="6E9C5A40" w:rsidR="00825982" w:rsidRDefault="00300433">
          <w:pPr>
            <w:pStyle w:val="TOC2"/>
            <w:tabs>
              <w:tab w:val="right" w:leader="dot" w:pos="9350"/>
            </w:tabs>
            <w:rPr>
              <w:rFonts w:eastAsiaTheme="minorEastAsia"/>
              <w:noProof/>
            </w:rPr>
          </w:pPr>
          <w:hyperlink w:anchor="_Toc77860052" w:history="1">
            <w:r w:rsidR="00825982" w:rsidRPr="002636EC">
              <w:rPr>
                <w:rStyle w:val="Hyperlink"/>
                <w:noProof/>
              </w:rPr>
              <w:t>Overview</w:t>
            </w:r>
            <w:r w:rsidR="00825982">
              <w:rPr>
                <w:noProof/>
                <w:webHidden/>
              </w:rPr>
              <w:tab/>
            </w:r>
            <w:r w:rsidR="00825982">
              <w:rPr>
                <w:noProof/>
                <w:webHidden/>
              </w:rPr>
              <w:fldChar w:fldCharType="begin"/>
            </w:r>
            <w:r w:rsidR="00825982">
              <w:rPr>
                <w:noProof/>
                <w:webHidden/>
              </w:rPr>
              <w:instrText xml:space="preserve"> PAGEREF _Toc77860052 \h </w:instrText>
            </w:r>
            <w:r w:rsidR="00825982">
              <w:rPr>
                <w:noProof/>
                <w:webHidden/>
              </w:rPr>
            </w:r>
            <w:r w:rsidR="00825982">
              <w:rPr>
                <w:noProof/>
                <w:webHidden/>
              </w:rPr>
              <w:fldChar w:fldCharType="separate"/>
            </w:r>
            <w:r w:rsidR="00567381">
              <w:rPr>
                <w:noProof/>
                <w:webHidden/>
              </w:rPr>
              <w:t>6</w:t>
            </w:r>
            <w:r w:rsidR="00825982">
              <w:rPr>
                <w:noProof/>
                <w:webHidden/>
              </w:rPr>
              <w:fldChar w:fldCharType="end"/>
            </w:r>
          </w:hyperlink>
        </w:p>
        <w:p w14:paraId="08F3F1AD" w14:textId="36D85C95" w:rsidR="00825982" w:rsidRDefault="00300433">
          <w:pPr>
            <w:pStyle w:val="TOC2"/>
            <w:tabs>
              <w:tab w:val="right" w:leader="dot" w:pos="9350"/>
            </w:tabs>
            <w:rPr>
              <w:rFonts w:eastAsiaTheme="minorEastAsia"/>
              <w:noProof/>
            </w:rPr>
          </w:pPr>
          <w:hyperlink w:anchor="_Toc77860053" w:history="1">
            <w:r w:rsidR="00825982" w:rsidRPr="002636EC">
              <w:rPr>
                <w:rStyle w:val="Hyperlink"/>
                <w:noProof/>
              </w:rPr>
              <w:t>Step-by-Step Guide</w:t>
            </w:r>
            <w:r w:rsidR="00825982">
              <w:rPr>
                <w:noProof/>
                <w:webHidden/>
              </w:rPr>
              <w:tab/>
            </w:r>
            <w:r w:rsidR="00825982">
              <w:rPr>
                <w:noProof/>
                <w:webHidden/>
              </w:rPr>
              <w:fldChar w:fldCharType="begin"/>
            </w:r>
            <w:r w:rsidR="00825982">
              <w:rPr>
                <w:noProof/>
                <w:webHidden/>
              </w:rPr>
              <w:instrText xml:space="preserve"> PAGEREF _Toc77860053 \h </w:instrText>
            </w:r>
            <w:r w:rsidR="00825982">
              <w:rPr>
                <w:noProof/>
                <w:webHidden/>
              </w:rPr>
            </w:r>
            <w:r w:rsidR="00825982">
              <w:rPr>
                <w:noProof/>
                <w:webHidden/>
              </w:rPr>
              <w:fldChar w:fldCharType="separate"/>
            </w:r>
            <w:r w:rsidR="00567381">
              <w:rPr>
                <w:noProof/>
                <w:webHidden/>
              </w:rPr>
              <w:t>6</w:t>
            </w:r>
            <w:r w:rsidR="00825982">
              <w:rPr>
                <w:noProof/>
                <w:webHidden/>
              </w:rPr>
              <w:fldChar w:fldCharType="end"/>
            </w:r>
          </w:hyperlink>
        </w:p>
        <w:p w14:paraId="7FA61E43" w14:textId="2DA030FA" w:rsidR="001C3437" w:rsidRDefault="001C3437">
          <w:r>
            <w:rPr>
              <w:b/>
              <w:bCs/>
              <w:noProof/>
            </w:rPr>
            <w:fldChar w:fldCharType="end"/>
          </w:r>
        </w:p>
      </w:sdtContent>
    </w:sdt>
    <w:p w14:paraId="20AA5261" w14:textId="77777777" w:rsidR="001C3437" w:rsidRPr="001C3437" w:rsidRDefault="001C3437" w:rsidP="001C3437"/>
    <w:p w14:paraId="4611903E" w14:textId="77777777" w:rsidR="001C3437" w:rsidRDefault="001C3437">
      <w:pPr>
        <w:rPr>
          <w:rFonts w:asciiTheme="majorHAnsi" w:eastAsiaTheme="majorEastAsia" w:hAnsiTheme="majorHAnsi" w:cstheme="majorBidi"/>
          <w:color w:val="2E74B5" w:themeColor="accent1" w:themeShade="BF"/>
          <w:sz w:val="32"/>
          <w:szCs w:val="32"/>
        </w:rPr>
      </w:pPr>
      <w:r>
        <w:br w:type="page"/>
      </w:r>
    </w:p>
    <w:p w14:paraId="0A2205DE" w14:textId="17F17192" w:rsidR="006458D0" w:rsidRDefault="00CA17B9" w:rsidP="00B5134B">
      <w:pPr>
        <w:pStyle w:val="Heading1"/>
      </w:pPr>
      <w:bookmarkStart w:id="0" w:name="_Toc77860038"/>
      <w:r>
        <w:lastRenderedPageBreak/>
        <w:t>Overview</w:t>
      </w:r>
      <w:bookmarkEnd w:id="0"/>
    </w:p>
    <w:p w14:paraId="5647C394" w14:textId="6FE08C51" w:rsidR="00CA17B9" w:rsidRDefault="00CA17B9" w:rsidP="00CA17B9">
      <w:r>
        <w:t xml:space="preserve">This is the SOP for the </w:t>
      </w:r>
      <w:r w:rsidR="004E6348">
        <w:t>Structured Tracking of Alcohol Reinforcement (STAR) procedure</w:t>
      </w:r>
      <w:r>
        <w:t xml:space="preserve"> developed by the Siciliano Lab. The purpose is to capture individual differences in drinking behavior that develop over time with exposure to alcohol. </w:t>
      </w:r>
      <w:r w:rsidR="0064098A">
        <w:t xml:space="preserve">As originally performed, the experiment consists of a training phase followed by a baseline, </w:t>
      </w:r>
      <w:r w:rsidR="00960F52">
        <w:t>Pre-</w:t>
      </w:r>
      <w:r w:rsidR="0064098A">
        <w:t xml:space="preserve">test. Animals then go through an event or series of events (in our case, a </w:t>
      </w:r>
      <w:r w:rsidR="006B72E8">
        <w:t xml:space="preserve">period </w:t>
      </w:r>
      <w:r w:rsidR="0064098A">
        <w:t>of binge drinking</w:t>
      </w:r>
      <w:r w:rsidR="00C93D1F">
        <w:t xml:space="preserve"> through a two-bottle choice task</w:t>
      </w:r>
      <w:r w:rsidR="0064098A">
        <w:t xml:space="preserve">) and then finally re-run the same test as in baseline as a </w:t>
      </w:r>
      <w:r w:rsidR="00960F52">
        <w:t>Post-</w:t>
      </w:r>
      <w:r w:rsidR="0064098A">
        <w:t xml:space="preserve">test comparison. Individual changes in animals’ consumption patterns from </w:t>
      </w:r>
      <w:r w:rsidR="00960F52">
        <w:t>Pre-</w:t>
      </w:r>
      <w:r w:rsidR="0064098A">
        <w:t xml:space="preserve"> to </w:t>
      </w:r>
      <w:r w:rsidR="00960F52">
        <w:t>Post-</w:t>
      </w:r>
      <w:r w:rsidR="0064098A">
        <w:t xml:space="preserve">test are examined and used to determine how the test affects animals’ disposition to compulsive drinking behavior. </w:t>
      </w:r>
    </w:p>
    <w:p w14:paraId="1A26EBDF" w14:textId="1B7E3F46" w:rsidR="00CA17B9" w:rsidRDefault="00CA17B9" w:rsidP="00CA17B9">
      <w:pPr>
        <w:pStyle w:val="Heading1"/>
      </w:pPr>
      <w:bookmarkStart w:id="1" w:name="_Toc77860039"/>
      <w:r>
        <w:t>General Experimental Guidelines</w:t>
      </w:r>
      <w:bookmarkEnd w:id="1"/>
    </w:p>
    <w:p w14:paraId="62337B17" w14:textId="64C9AF80" w:rsidR="0086460F" w:rsidRDefault="0086460F" w:rsidP="0086460F">
      <w:pPr>
        <w:pStyle w:val="Heading2"/>
      </w:pPr>
      <w:bookmarkStart w:id="2" w:name="_Toc77860040"/>
      <w:r>
        <w:t>Consistency</w:t>
      </w:r>
      <w:bookmarkEnd w:id="2"/>
    </w:p>
    <w:p w14:paraId="6C05FA38" w14:textId="10312155" w:rsidR="00CA17B9" w:rsidRDefault="00CA17B9" w:rsidP="00CA17B9">
      <w:pPr>
        <w:rPr>
          <w:b/>
        </w:rPr>
      </w:pPr>
      <w:r>
        <w:t xml:space="preserve">Consistency is the bedrock of the </w:t>
      </w:r>
      <w:r w:rsidR="00D8382F">
        <w:t>STAR</w:t>
      </w:r>
      <w:r>
        <w:t>. Animals should start behavior and fed at the same time every day to the best extent possible. Since every animal will move through the experiment at their own pace, it is not possible to control</w:t>
      </w:r>
      <w:r w:rsidR="0086460F">
        <w:t xml:space="preserve"> every factor in the experiment. H</w:t>
      </w:r>
      <w:r>
        <w:t>owever</w:t>
      </w:r>
      <w:r w:rsidR="0086460F">
        <w:t>,</w:t>
      </w:r>
      <w:r>
        <w:t xml:space="preserve"> since differences in individual animal’s behavior is the focus, giving every animal the most consistent day-to-day experience will </w:t>
      </w:r>
      <w:r w:rsidR="0086460F">
        <w:t xml:space="preserve">result in the cleanest and most accurately comparable results. </w:t>
      </w:r>
    </w:p>
    <w:p w14:paraId="3C5D2085" w14:textId="014C1004" w:rsidR="008C55AC" w:rsidRDefault="008C55AC" w:rsidP="008C55AC">
      <w:pPr>
        <w:pStyle w:val="Heading2"/>
      </w:pPr>
      <w:bookmarkStart w:id="3" w:name="_Toc77860041"/>
      <w:r>
        <w:t>Timeline</w:t>
      </w:r>
      <w:bookmarkEnd w:id="3"/>
    </w:p>
    <w:p w14:paraId="5BB550A0" w14:textId="7F405CC8" w:rsidR="008C55AC" w:rsidRDefault="008C55AC" w:rsidP="008C55AC">
      <w:r>
        <w:t xml:space="preserve">Animals should be run ~2 hours into their dark (active) cycle each day. Bring animals to experimental space to acclimate for at least 30 minutes prior to running the experiment. The experiment runs on consecutive days for at least 21 days, though exact experimental timeline varies based on the speed at which animals acquire and the specific task and schedules being tested. </w:t>
      </w:r>
      <w:r w:rsidR="00C93D1F">
        <w:t xml:space="preserve">Training lasts for at least 7 days, depending on animals’ speed of acquisition, while </w:t>
      </w:r>
      <w:r w:rsidR="00960F52">
        <w:t>Pre-</w:t>
      </w:r>
      <w:r w:rsidR="00C93D1F">
        <w:t xml:space="preserve"> and </w:t>
      </w:r>
      <w:r w:rsidR="00960F52">
        <w:t>Post-</w:t>
      </w:r>
      <w:r w:rsidR="00C93D1F">
        <w:t xml:space="preserve">test last 7 days each, regardless of performance on the task. The test part can be changed around and so will </w:t>
      </w:r>
      <w:r w:rsidR="00D02978">
        <w:t xml:space="preserve">vary based on what exactly is being tested and the methods employed. </w:t>
      </w:r>
      <w:r w:rsidR="004646EF">
        <w:t xml:space="preserve">For a visual timeline of the experiment, see </w:t>
      </w:r>
      <w:hyperlink r:id="rId8" w:history="1">
        <w:r w:rsidR="004646EF" w:rsidRPr="004646EF">
          <w:rPr>
            <w:rStyle w:val="Hyperlink"/>
          </w:rPr>
          <w:t>here</w:t>
        </w:r>
      </w:hyperlink>
      <w:r w:rsidR="004646EF">
        <w:t xml:space="preserve">. </w:t>
      </w:r>
    </w:p>
    <w:p w14:paraId="55E300CF" w14:textId="711B5ECA" w:rsidR="00CA17B9" w:rsidRDefault="0086460F" w:rsidP="0086460F">
      <w:pPr>
        <w:pStyle w:val="Heading2"/>
      </w:pPr>
      <w:bookmarkStart w:id="4" w:name="_Toc77860042"/>
      <w:r>
        <w:t>Solution Making</w:t>
      </w:r>
      <w:bookmarkEnd w:id="4"/>
    </w:p>
    <w:p w14:paraId="00A2FA9E" w14:textId="5B0B3B5B" w:rsidR="009226B6" w:rsidRDefault="0086460F" w:rsidP="0086460F">
      <w:pPr>
        <w:rPr>
          <w:b/>
        </w:rPr>
      </w:pPr>
      <w:r>
        <w:t xml:space="preserve">Alcohol used throughout this experiment </w:t>
      </w:r>
      <w:r w:rsidR="00960F52">
        <w:t>is</w:t>
      </w:r>
      <w:r>
        <w:t xml:space="preserve"> 15% E</w:t>
      </w:r>
      <w:r w:rsidR="009E02D9">
        <w:t>tOH in water.</w:t>
      </w:r>
      <w:r>
        <w:rPr>
          <w:b/>
        </w:rPr>
        <w:t xml:space="preserve"> </w:t>
      </w:r>
      <w:r>
        <w:t>190 proof (95%) undenatured ethanol was</w:t>
      </w:r>
      <w:r w:rsidR="009226B6">
        <w:t xml:space="preserve"> used (see Materials section for exact part number)</w:t>
      </w:r>
      <w:r>
        <w:t xml:space="preserve">. Regardless of vendor, make sure to </w:t>
      </w:r>
      <w:r w:rsidRPr="009226B6">
        <w:rPr>
          <w:i/>
          <w:u w:val="single"/>
        </w:rPr>
        <w:t>not</w:t>
      </w:r>
      <w:r>
        <w:t xml:space="preserve"> use 200 proof ethanol as that </w:t>
      </w:r>
      <w:hyperlink r:id="rId9" w:history="1">
        <w:r w:rsidRPr="00E8264F">
          <w:rPr>
            <w:rStyle w:val="Hyperlink"/>
          </w:rPr>
          <w:t>has impurities that make it unsafe for consumption</w:t>
        </w:r>
      </w:hyperlink>
      <w:r>
        <w:t xml:space="preserve">. Similarly, denatured alcohol </w:t>
      </w:r>
      <w:r w:rsidR="00D420C8">
        <w:t>has additives that make it unsafe to consume</w:t>
      </w:r>
      <w:r w:rsidR="0024085B">
        <w:t>, so ensure any ethanol for consumption is undenatured</w:t>
      </w:r>
      <w:r w:rsidR="00D420C8">
        <w:t xml:space="preserve">. </w:t>
      </w:r>
    </w:p>
    <w:p w14:paraId="077524B7" w14:textId="1563F264" w:rsidR="009226B6" w:rsidRDefault="009226B6" w:rsidP="009226B6">
      <w:pPr>
        <w:pStyle w:val="Heading2"/>
      </w:pPr>
      <w:bookmarkStart w:id="5" w:name="_Toc77860043"/>
      <w:r>
        <w:t>Box Cleaning</w:t>
      </w:r>
      <w:bookmarkEnd w:id="5"/>
    </w:p>
    <w:p w14:paraId="340E457E" w14:textId="217E98BB" w:rsidR="009226B6" w:rsidRDefault="009226B6" w:rsidP="009226B6">
      <w:r>
        <w:t>Since alcohol is consumed during this experiment, boxes should be cleaned with acetic acid and not e</w:t>
      </w:r>
      <w:r w:rsidR="001226F7">
        <w:t xml:space="preserve">thanol. </w:t>
      </w:r>
      <w:r>
        <w:t xml:space="preserve">0.03% </w:t>
      </w:r>
      <w:r w:rsidR="0003152A">
        <w:t xml:space="preserve">(v/v) </w:t>
      </w:r>
      <w:r>
        <w:t xml:space="preserve">acetic acid and double distilled water </w:t>
      </w:r>
      <w:r w:rsidR="001226F7">
        <w:t xml:space="preserve">were used </w:t>
      </w:r>
      <w:r>
        <w:t xml:space="preserve">as cleaning solutions throughout this experiment. </w:t>
      </w:r>
    </w:p>
    <w:p w14:paraId="10B5F336" w14:textId="08C2B67B" w:rsidR="005D3AE1" w:rsidRDefault="005D3AE1" w:rsidP="005D3AE1">
      <w:pPr>
        <w:pStyle w:val="Heading2"/>
      </w:pPr>
      <w:r>
        <w:t>General SOP Notes</w:t>
      </w:r>
    </w:p>
    <w:p w14:paraId="30DF3273" w14:textId="002F83AA" w:rsidR="005D3AE1" w:rsidRDefault="005D3AE1" w:rsidP="005D3AE1">
      <w:r>
        <w:t>Some things will be marked in order of importance. See the following coloring guide for details:</w:t>
      </w:r>
    </w:p>
    <w:p w14:paraId="39DAB7F3" w14:textId="6C2D7436" w:rsidR="005D3AE1" w:rsidRPr="005D3AE1" w:rsidRDefault="005D3AE1" w:rsidP="005D3AE1">
      <w:pPr>
        <w:rPr>
          <w:color w:val="FF0000"/>
        </w:rPr>
      </w:pPr>
      <w:r w:rsidRPr="005D3AE1">
        <w:rPr>
          <w:b/>
          <w:color w:val="FF0000"/>
        </w:rPr>
        <w:t>CRITICAL</w:t>
      </w:r>
      <w:r w:rsidRPr="005D3AE1">
        <w:rPr>
          <w:b/>
        </w:rPr>
        <w:t xml:space="preserve"> </w:t>
      </w:r>
      <w:r w:rsidR="00217125">
        <w:t>–</w:t>
      </w:r>
      <w:r w:rsidRPr="005D3AE1">
        <w:t xml:space="preserve"> </w:t>
      </w:r>
      <w:r w:rsidR="00217125">
        <w:t>Part or step that is of utmost importance to the experiment running correctly</w:t>
      </w:r>
    </w:p>
    <w:p w14:paraId="72D49455" w14:textId="10962436" w:rsidR="005D3AE1" w:rsidRPr="005D3AE1" w:rsidRDefault="005D3AE1" w:rsidP="005D3AE1">
      <w:pPr>
        <w:rPr>
          <w:b/>
          <w:color w:val="FF9900"/>
        </w:rPr>
      </w:pPr>
      <w:r w:rsidRPr="005D3AE1">
        <w:rPr>
          <w:b/>
          <w:color w:val="FF9900"/>
        </w:rPr>
        <w:t>Important</w:t>
      </w:r>
      <w:r w:rsidRPr="005D3AE1">
        <w:rPr>
          <w:b/>
        </w:rPr>
        <w:t xml:space="preserve"> </w:t>
      </w:r>
      <w:r w:rsidR="00217125">
        <w:t>– Part or step that should be paid close attention to or will provide benefits in the future if done correctly</w:t>
      </w:r>
    </w:p>
    <w:p w14:paraId="6FC5745B" w14:textId="5646B77E" w:rsidR="005D3AE1" w:rsidRPr="005D3AE1" w:rsidRDefault="005D3AE1" w:rsidP="005D3AE1">
      <w:pPr>
        <w:rPr>
          <w:b/>
          <w:color w:val="538135" w:themeColor="accent6" w:themeShade="BF"/>
        </w:rPr>
      </w:pPr>
      <w:r w:rsidRPr="005D3AE1">
        <w:rPr>
          <w:b/>
          <w:color w:val="538135" w:themeColor="accent6" w:themeShade="BF"/>
        </w:rPr>
        <w:lastRenderedPageBreak/>
        <w:t>Optional</w:t>
      </w:r>
      <w:r w:rsidRPr="005D3AE1">
        <w:rPr>
          <w:b/>
        </w:rPr>
        <w:t xml:space="preserve"> </w:t>
      </w:r>
      <w:r w:rsidR="00217125">
        <w:t>– Not critical to experiment, though might have additional benefits further down the line if done</w:t>
      </w:r>
    </w:p>
    <w:p w14:paraId="1F124764" w14:textId="1DABE502" w:rsidR="005D3AE1" w:rsidRPr="005D3AE1" w:rsidRDefault="005D3AE1" w:rsidP="005D3AE1">
      <w:pPr>
        <w:rPr>
          <w:b/>
          <w:color w:val="7030A0"/>
        </w:rPr>
      </w:pPr>
      <w:r w:rsidRPr="005D3AE1">
        <w:rPr>
          <w:b/>
          <w:color w:val="7030A0"/>
        </w:rPr>
        <w:t>Experimenter Note</w:t>
      </w:r>
      <w:r w:rsidRPr="005D3AE1">
        <w:rPr>
          <w:b/>
        </w:rPr>
        <w:t xml:space="preserve"> </w:t>
      </w:r>
      <w:r w:rsidR="00217125">
        <w:t>– Thing that was done that is not critical to the experiment, but from experience has been found to be useful</w:t>
      </w:r>
    </w:p>
    <w:p w14:paraId="228CBCEB" w14:textId="739B3F0B" w:rsidR="0086460F" w:rsidRDefault="0086460F" w:rsidP="0086460F">
      <w:pPr>
        <w:pStyle w:val="Heading1"/>
      </w:pPr>
      <w:bookmarkStart w:id="6" w:name="_Toc77860044"/>
      <w:r>
        <w:t>Materials</w:t>
      </w:r>
      <w:bookmarkEnd w:id="6"/>
    </w:p>
    <w:p w14:paraId="0C383FCE" w14:textId="4D86D397" w:rsidR="00244738" w:rsidRDefault="00F8324B" w:rsidP="00244738">
      <w:pPr>
        <w:pStyle w:val="Heading2"/>
      </w:pPr>
      <w:bookmarkStart w:id="7" w:name="_Toc77860045"/>
      <w:r>
        <w:t>Operant</w:t>
      </w:r>
      <w:r w:rsidR="00244738">
        <w:t xml:space="preserve"> Box Parts</w:t>
      </w:r>
      <w:bookmarkEnd w:id="7"/>
    </w:p>
    <w:p w14:paraId="48701D59" w14:textId="223C56EF" w:rsidR="004A3709" w:rsidRDefault="004A3709" w:rsidP="004A3709">
      <w:r>
        <w:t>All operant behavior was run in operant boxes from Med Associates (St. Albans, VT)</w:t>
      </w:r>
      <w:r w:rsidR="007514C3">
        <w:t xml:space="preserve">. Since a Med Associates behavioral setup is already needed to run the experiment, parts will be broken down into sections based on their importance to STAR directly, vs. other parts of the experiment. Feel free to contact the authors for further details of their specific experimental setup. </w:t>
      </w:r>
    </w:p>
    <w:p w14:paraId="7FDFD9AD" w14:textId="3E8DAE99" w:rsidR="00C52693" w:rsidRDefault="00C52693" w:rsidP="00C52693">
      <w:pPr>
        <w:pStyle w:val="Heading3"/>
      </w:pPr>
      <w:r>
        <w:t>General Parts</w:t>
      </w:r>
    </w:p>
    <w:p w14:paraId="5C700031" w14:textId="26BB41A8" w:rsidR="00C52693" w:rsidRPr="00C52693" w:rsidRDefault="00C52693" w:rsidP="00C52693">
      <w:r>
        <w:t xml:space="preserve">Can be different based on setup specific to your lab/experimental environment. Some parts may have a “W” at the end of the part number, denoting they were originally made for the Extra Wide Modular Test Chamber. The same </w:t>
      </w:r>
      <w:r w:rsidR="00D46556">
        <w:t>pieces</w:t>
      </w:r>
      <w:r>
        <w:t xml:space="preserve"> may </w:t>
      </w:r>
      <w:r w:rsidR="005D3873">
        <w:t>have</w:t>
      </w:r>
      <w:r>
        <w:t xml:space="preserve"> different part numbers to fit the standard modular mouse chamber (ENV-307A). Always double check your setup to make sure parts are compatible. </w:t>
      </w:r>
    </w:p>
    <w:p w14:paraId="7ACEDEE2" w14:textId="77777777" w:rsidR="00C52693" w:rsidRDefault="00C52693" w:rsidP="00C52693">
      <w:pPr>
        <w:pStyle w:val="ListParagraph"/>
        <w:numPr>
          <w:ilvl w:val="0"/>
          <w:numId w:val="3"/>
        </w:numPr>
      </w:pPr>
      <w:r>
        <w:t>Standard Multi-Density Fiberboard (MDF) Sound Attenuating Chamber (SAC) – ENV-022SA</w:t>
      </w:r>
    </w:p>
    <w:p w14:paraId="6D4990E4" w14:textId="77777777" w:rsidR="00C52693" w:rsidRDefault="00C52693" w:rsidP="00C52693">
      <w:pPr>
        <w:pStyle w:val="ListParagraph"/>
        <w:numPr>
          <w:ilvl w:val="0"/>
          <w:numId w:val="3"/>
        </w:numPr>
      </w:pPr>
      <w:r>
        <w:t>Extra Wide Modular Test Chamber with Modified Top for Mouse – ENV-307W-CT</w:t>
      </w:r>
    </w:p>
    <w:p w14:paraId="3F6F57E8" w14:textId="6530D165" w:rsidR="00C52693" w:rsidRPr="00C52693" w:rsidRDefault="00C52693" w:rsidP="00C52693">
      <w:pPr>
        <w:pStyle w:val="ListParagraph"/>
        <w:numPr>
          <w:ilvl w:val="0"/>
          <w:numId w:val="3"/>
        </w:numPr>
      </w:pPr>
      <w:r>
        <w:t>Stainless Steel Grid Floor for Extra Wide Mouse Modular Mouse Chamber – ENV-307W-QD</w:t>
      </w:r>
    </w:p>
    <w:p w14:paraId="5876D8B7" w14:textId="6339A41A" w:rsidR="004A3709" w:rsidRPr="00824A07" w:rsidRDefault="00824A07" w:rsidP="00824A07">
      <w:pPr>
        <w:pStyle w:val="Heading3"/>
      </w:pPr>
      <w:r w:rsidRPr="00824A07">
        <w:rPr>
          <w:b/>
          <w:color w:val="FF0000"/>
        </w:rPr>
        <w:t>CRITICAL</w:t>
      </w:r>
      <w:r w:rsidRPr="00824A07">
        <w:rPr>
          <w:color w:val="FF0000"/>
        </w:rPr>
        <w:t xml:space="preserve"> </w:t>
      </w:r>
      <w:r w:rsidRPr="00824A07">
        <w:t>Parts</w:t>
      </w:r>
    </w:p>
    <w:p w14:paraId="590B882A" w14:textId="430DEAA6" w:rsidR="008C4C58" w:rsidRDefault="008C4C58" w:rsidP="00F8324B">
      <w:pPr>
        <w:pStyle w:val="ListParagraph"/>
        <w:numPr>
          <w:ilvl w:val="0"/>
          <w:numId w:val="3"/>
        </w:numPr>
      </w:pPr>
      <w:r>
        <w:t>Retractable Sipper w/ Graduated Pipette for Mouse – ENV-352A</w:t>
      </w:r>
      <w:r w:rsidR="00824A07">
        <w:t>W</w:t>
      </w:r>
    </w:p>
    <w:p w14:paraId="2A738DFF" w14:textId="77777777" w:rsidR="008C4C58" w:rsidRDefault="008C4C58" w:rsidP="004F1CF8">
      <w:pPr>
        <w:pStyle w:val="ListParagraph"/>
        <w:numPr>
          <w:ilvl w:val="0"/>
          <w:numId w:val="3"/>
        </w:numPr>
      </w:pPr>
      <w:r>
        <w:t xml:space="preserve">Graduated Pipette (only) </w:t>
      </w:r>
      <w:r w:rsidR="00F35A8C">
        <w:t xml:space="preserve">– </w:t>
      </w:r>
      <w:r w:rsidRPr="008C4C58">
        <w:t>MSUB-ENV-352A1</w:t>
      </w:r>
    </w:p>
    <w:p w14:paraId="2E1B4834" w14:textId="2E8098E6" w:rsidR="00EA7D03" w:rsidRDefault="00217125" w:rsidP="008C4C58">
      <w:pPr>
        <w:pStyle w:val="ListParagraph"/>
        <w:numPr>
          <w:ilvl w:val="1"/>
          <w:numId w:val="3"/>
        </w:numPr>
      </w:pPr>
      <w:r w:rsidRPr="00217125">
        <w:rPr>
          <w:b/>
          <w:color w:val="7030A0"/>
        </w:rPr>
        <w:t>Experimenter Note:</w:t>
      </w:r>
      <w:r w:rsidR="00EA7D03">
        <w:t xml:space="preserve"> we purchased two sipper tubes per box being run, one for each solution being used (in our case, </w:t>
      </w:r>
      <w:proofErr w:type="gramStart"/>
      <w:r w:rsidR="00EA7D03">
        <w:t>ethanol</w:t>
      </w:r>
      <w:proofErr w:type="gramEnd"/>
      <w:r w:rsidR="00EA7D03">
        <w:t xml:space="preserve"> and quinine). Since each retractable motor moves a slightly different amount, this allowed us to keep using the same tubes per box each day and avoid any changes dif</w:t>
      </w:r>
      <w:r w:rsidR="003A1CE8">
        <w:t>ferent sipper tubes might have as well as avoid any cross contamination of solutions</w:t>
      </w:r>
    </w:p>
    <w:p w14:paraId="4AEC069E" w14:textId="14CFC5F6" w:rsidR="00923C45" w:rsidRDefault="00923C45" w:rsidP="00923C45">
      <w:pPr>
        <w:pStyle w:val="ListParagraph"/>
        <w:numPr>
          <w:ilvl w:val="0"/>
          <w:numId w:val="3"/>
        </w:numPr>
      </w:pPr>
      <w:r>
        <w:t>Triple Contact Lickometer Controller – ENV-250C</w:t>
      </w:r>
    </w:p>
    <w:p w14:paraId="0FD94786" w14:textId="10BD582A" w:rsidR="00244738" w:rsidRDefault="00A75398" w:rsidP="00253419">
      <w:pPr>
        <w:pStyle w:val="ListParagraph"/>
        <w:numPr>
          <w:ilvl w:val="0"/>
          <w:numId w:val="3"/>
        </w:numPr>
      </w:pPr>
      <w:r>
        <w:t>White Noise Amplifier with Cage Speaker for ENV-307W Wide Mouse Chamber – ENV-325SW</w:t>
      </w:r>
    </w:p>
    <w:p w14:paraId="1D99A78A" w14:textId="199179F0" w:rsidR="00A75398" w:rsidRDefault="00A75398" w:rsidP="00253419">
      <w:pPr>
        <w:pStyle w:val="ListParagraph"/>
        <w:numPr>
          <w:ilvl w:val="0"/>
          <w:numId w:val="3"/>
        </w:numPr>
      </w:pPr>
      <w:r>
        <w:t>Cage Speaker for ENV-307W Wide Mouse Chamber –</w:t>
      </w:r>
      <w:r w:rsidR="00E45385">
        <w:t xml:space="preserve"> ENV-324</w:t>
      </w:r>
      <w:r>
        <w:t>W</w:t>
      </w:r>
    </w:p>
    <w:p w14:paraId="5001D06F" w14:textId="2362CFFB" w:rsidR="005D3873" w:rsidRDefault="005D3873" w:rsidP="005D3873">
      <w:pPr>
        <w:pStyle w:val="Heading3"/>
      </w:pPr>
      <w:r w:rsidRPr="005D3AE1">
        <w:rPr>
          <w:b/>
          <w:color w:val="538135" w:themeColor="accent6" w:themeShade="BF"/>
        </w:rPr>
        <w:t>Optional</w:t>
      </w:r>
      <w:r>
        <w:rPr>
          <w:b/>
          <w:color w:val="538135" w:themeColor="accent6" w:themeShade="BF"/>
        </w:rPr>
        <w:t xml:space="preserve"> </w:t>
      </w:r>
      <w:r w:rsidRPr="005D3873">
        <w:t>Parts</w:t>
      </w:r>
    </w:p>
    <w:p w14:paraId="1DFBF710" w14:textId="347754AD" w:rsidR="005D3873" w:rsidRDefault="005D3873" w:rsidP="005D3873">
      <w:pPr>
        <w:pStyle w:val="ListParagraph"/>
        <w:numPr>
          <w:ilvl w:val="0"/>
          <w:numId w:val="3"/>
        </w:numPr>
      </w:pPr>
      <w:r>
        <w:t>Illuminated Nose Poke response for Wide Mouse Modular Chamber – ENV-313W</w:t>
      </w:r>
    </w:p>
    <w:p w14:paraId="60F82FB6" w14:textId="6D425B71" w:rsidR="003A1CE8" w:rsidRDefault="001F2F45" w:rsidP="005D3873">
      <w:pPr>
        <w:pStyle w:val="ListParagraph"/>
        <w:numPr>
          <w:ilvl w:val="0"/>
          <w:numId w:val="3"/>
        </w:numPr>
      </w:pPr>
      <w:r>
        <w:t>Shock / Lickometer grid switch - ENV-250S (only needed if doing shock and lickometer rea</w:t>
      </w:r>
      <w:r w:rsidR="000C01F2">
        <w:t>dings concurrently)</w:t>
      </w:r>
    </w:p>
    <w:p w14:paraId="72FF9B68" w14:textId="1314E967" w:rsidR="00DB272C" w:rsidRDefault="00276F94" w:rsidP="00DB272C">
      <w:pPr>
        <w:pStyle w:val="ListParagraph"/>
        <w:numPr>
          <w:ilvl w:val="0"/>
          <w:numId w:val="3"/>
        </w:numPr>
      </w:pPr>
      <w:r>
        <w:t>Sound level meter – Model 732A, BK Precision</w:t>
      </w:r>
      <w:r w:rsidR="00C5155B">
        <w:t xml:space="preserve"> (for normalizing volume of white noise in operant chambers)</w:t>
      </w:r>
    </w:p>
    <w:p w14:paraId="4CF757CA" w14:textId="30E32114" w:rsidR="00DB272C" w:rsidRDefault="00DB272C" w:rsidP="00DB272C">
      <w:pPr>
        <w:pStyle w:val="Heading3"/>
      </w:pPr>
      <w:r w:rsidRPr="005D3AE1">
        <w:rPr>
          <w:b/>
          <w:color w:val="7030A0"/>
        </w:rPr>
        <w:t>Experimenter Note</w:t>
      </w:r>
      <w:r w:rsidRPr="005D3AE1">
        <w:rPr>
          <w:b/>
        </w:rPr>
        <w:t xml:space="preserve"> </w:t>
      </w:r>
      <w:r>
        <w:t>Video Recording Parts</w:t>
      </w:r>
    </w:p>
    <w:p w14:paraId="70F7632A" w14:textId="31288C15" w:rsidR="00330F12" w:rsidRDefault="00DB272C" w:rsidP="00DB272C">
      <w:r>
        <w:t xml:space="preserve">At the top of each sound attenuating chamber an infrared camera was set up and connected to an NVR for a bird’s eye view </w:t>
      </w:r>
      <w:r w:rsidR="00A90697">
        <w:t xml:space="preserve">recording </w:t>
      </w:r>
      <w:r>
        <w:t xml:space="preserve">of each box. This is useful for a variety of reasons, mainly watching animals as they run the behavior to keep an eye out for any abnormalities and also a visual check to </w:t>
      </w:r>
      <w:r>
        <w:lastRenderedPageBreak/>
        <w:t>make sure the quantitative measurements (</w:t>
      </w:r>
      <w:proofErr w:type="gramStart"/>
      <w:r>
        <w:t>e.g.</w:t>
      </w:r>
      <w:proofErr w:type="gramEnd"/>
      <w:r>
        <w:t xml:space="preserve"> nose</w:t>
      </w:r>
      <w:r w:rsidR="00843255">
        <w:t xml:space="preserve"> </w:t>
      </w:r>
      <w:r>
        <w:t>pokes and licks) are being recorded correctly. Additionally, videos can later be fed into programs</w:t>
      </w:r>
      <w:r w:rsidR="00A90697">
        <w:t>,</w:t>
      </w:r>
      <w:r>
        <w:t xml:space="preserve"> such as </w:t>
      </w:r>
      <w:proofErr w:type="spellStart"/>
      <w:r>
        <w:t>DeepLabCut</w:t>
      </w:r>
      <w:proofErr w:type="spellEnd"/>
      <w:r w:rsidR="00A90697">
        <w:t>,</w:t>
      </w:r>
      <w:r>
        <w:t xml:space="preserve"> for tracking and </w:t>
      </w:r>
      <w:r w:rsidR="00A90697">
        <w:t>scoring</w:t>
      </w:r>
      <w:r>
        <w:t xml:space="preserve"> of behavior. Security camera setups are perfect for this task as they are all interconnected, and yet separate, allowing for</w:t>
      </w:r>
      <w:r w:rsidR="00330F12">
        <w:t xml:space="preserve"> both</w:t>
      </w:r>
      <w:r>
        <w:t xml:space="preserve"> individual control and recording in each box </w:t>
      </w:r>
      <w:r w:rsidR="00330F12">
        <w:t xml:space="preserve">as well as synchronous multi-box recording. Equipped with IR lights as well, they make running behavior in low light with good video quality still feasible. Though all security camera systems are similar, we went with Security Camera Warehouse (Asheville, NC - </w:t>
      </w:r>
      <w:r w:rsidR="00330F12" w:rsidRPr="00330F12">
        <w:t>https://www.getscw.com/</w:t>
      </w:r>
      <w:r w:rsidR="00330F12">
        <w:t xml:space="preserve">) which has proved incredibly robust and reliable. </w:t>
      </w:r>
    </w:p>
    <w:p w14:paraId="3E05F8D7" w14:textId="1169920B" w:rsidR="00DB272C" w:rsidRDefault="00330F12" w:rsidP="00330F12">
      <w:pPr>
        <w:pStyle w:val="ListParagraph"/>
        <w:numPr>
          <w:ilvl w:val="0"/>
          <w:numId w:val="11"/>
        </w:numPr>
      </w:pPr>
      <w:r>
        <w:t xml:space="preserve">Admiral Pro 16 Channel 4K NVR – ADMP16P16 </w:t>
      </w:r>
    </w:p>
    <w:p w14:paraId="1A146559" w14:textId="46293E01" w:rsidR="00330F12" w:rsidRDefault="00330F12" w:rsidP="00330F12">
      <w:pPr>
        <w:pStyle w:val="ListParagraph"/>
        <w:numPr>
          <w:ilvl w:val="0"/>
          <w:numId w:val="11"/>
        </w:numPr>
      </w:pPr>
      <w:r>
        <w:t>Deputy 2.0 2MP Fixed Wide Lens Turret Dome Camera – 26DF2</w:t>
      </w:r>
    </w:p>
    <w:p w14:paraId="373C890D" w14:textId="06DEFC1F" w:rsidR="00330F12" w:rsidRDefault="00A90697" w:rsidP="00330F12">
      <w:pPr>
        <w:pStyle w:val="ListParagraph"/>
        <w:numPr>
          <w:ilvl w:val="0"/>
          <w:numId w:val="11"/>
        </w:numPr>
      </w:pPr>
      <w:r>
        <w:t>10TB Surveillance Grade Hard Drive – 10TB-HD</w:t>
      </w:r>
    </w:p>
    <w:p w14:paraId="2671A797" w14:textId="7A8E54CF" w:rsidR="00F8324B" w:rsidRDefault="00F8324B" w:rsidP="00F8324B">
      <w:pPr>
        <w:pStyle w:val="Heading2"/>
      </w:pPr>
      <w:bookmarkStart w:id="8" w:name="_Toc77860046"/>
      <w:r>
        <w:t>Two-Bottle Choice (2BC)</w:t>
      </w:r>
      <w:bookmarkEnd w:id="8"/>
    </w:p>
    <w:p w14:paraId="71371129" w14:textId="77777777" w:rsidR="00084EA4" w:rsidRDefault="00084EA4" w:rsidP="00B95FCE">
      <w:pPr>
        <w:pStyle w:val="ListParagraph"/>
        <w:numPr>
          <w:ilvl w:val="0"/>
          <w:numId w:val="4"/>
        </w:numPr>
      </w:pPr>
      <w:r>
        <w:t>50mL Conical Tube</w:t>
      </w:r>
      <w:r w:rsidR="00B95FCE">
        <w:t xml:space="preserve"> – #22-170-199</w:t>
      </w:r>
      <w:r w:rsidR="00BB7F50">
        <w:t>, Fisher Scientific</w:t>
      </w:r>
    </w:p>
    <w:p w14:paraId="689A52C5" w14:textId="77777777" w:rsidR="00084EA4" w:rsidRPr="00084EA4" w:rsidRDefault="00084EA4" w:rsidP="00084EA4">
      <w:pPr>
        <w:pStyle w:val="ListParagraph"/>
        <w:numPr>
          <w:ilvl w:val="0"/>
          <w:numId w:val="4"/>
        </w:numPr>
      </w:pPr>
      <w:r>
        <w:t xml:space="preserve">Rubber (black) stopper, Size 6 </w:t>
      </w:r>
      <w:r w:rsidR="00B95FCE">
        <w:t xml:space="preserve">– </w:t>
      </w:r>
      <w:r>
        <w:t>#6R</w:t>
      </w:r>
      <w:r w:rsidR="00BB7F50">
        <w:t>,</w:t>
      </w:r>
      <w:r>
        <w:t xml:space="preserve"> </w:t>
      </w:r>
      <w:proofErr w:type="spellStart"/>
      <w:r>
        <w:t>Ancare</w:t>
      </w:r>
      <w:proofErr w:type="spellEnd"/>
      <w:r>
        <w:t>, Bellmore, NY</w:t>
      </w:r>
    </w:p>
    <w:p w14:paraId="03663998" w14:textId="608DECF9" w:rsidR="00F8324B" w:rsidRDefault="00F8324B" w:rsidP="00F8324B">
      <w:pPr>
        <w:pStyle w:val="Heading2"/>
      </w:pPr>
      <w:bookmarkStart w:id="9" w:name="_Toc77860047"/>
      <w:r>
        <w:t>Solutions/Chemicals</w:t>
      </w:r>
      <w:bookmarkEnd w:id="9"/>
    </w:p>
    <w:p w14:paraId="03BC3086" w14:textId="77777777" w:rsidR="00BB7F50" w:rsidRDefault="00B95FCE" w:rsidP="00BB7F50">
      <w:pPr>
        <w:pStyle w:val="ListParagraph"/>
        <w:numPr>
          <w:ilvl w:val="0"/>
          <w:numId w:val="5"/>
        </w:numPr>
      </w:pPr>
      <w:r>
        <w:t>Quinine Hydrochloride Dihydrate – CAS# 6119-47-7, Sigma-Aldrich, Q1125</w:t>
      </w:r>
    </w:p>
    <w:p w14:paraId="659E2FE9" w14:textId="77777777" w:rsidR="00B95FCE" w:rsidRDefault="0096383E" w:rsidP="00BB7F50">
      <w:pPr>
        <w:pStyle w:val="ListParagraph"/>
        <w:numPr>
          <w:ilvl w:val="0"/>
          <w:numId w:val="5"/>
        </w:numPr>
      </w:pPr>
      <w:r>
        <w:t xml:space="preserve">190 Proof Undenatured Ethanol – </w:t>
      </w:r>
      <w:proofErr w:type="spellStart"/>
      <w:r>
        <w:t>Decon</w:t>
      </w:r>
      <w:proofErr w:type="spellEnd"/>
      <w:r>
        <w:t xml:space="preserve"> Labs, #2801, Ethyl Alcohol CAS# 64-17-5, Water CAS# 7732-18-5</w:t>
      </w:r>
    </w:p>
    <w:p w14:paraId="00A0F66F" w14:textId="77777777" w:rsidR="00221714" w:rsidRDefault="0024085B" w:rsidP="00AB10FF">
      <w:pPr>
        <w:pStyle w:val="ListParagraph"/>
        <w:numPr>
          <w:ilvl w:val="0"/>
          <w:numId w:val="5"/>
        </w:numPr>
      </w:pPr>
      <w:r>
        <w:t>Acetic Acid, Glacial – CAS# 64-19-7, Fisher Scientific, A38-500</w:t>
      </w:r>
    </w:p>
    <w:p w14:paraId="3A1AAC4F" w14:textId="77777777" w:rsidR="00221714" w:rsidRDefault="00221714" w:rsidP="00221714">
      <w:r>
        <w:br w:type="page"/>
      </w:r>
    </w:p>
    <w:p w14:paraId="2C511E14" w14:textId="5BD9546C" w:rsidR="00D73B1E" w:rsidRDefault="00221714" w:rsidP="00D73B1E">
      <w:pPr>
        <w:pStyle w:val="Heading1"/>
      </w:pPr>
      <w:bookmarkStart w:id="10" w:name="_Toc77860048"/>
      <w:r>
        <w:lastRenderedPageBreak/>
        <w:t>Operant Behavior SOP</w:t>
      </w:r>
      <w:bookmarkEnd w:id="10"/>
    </w:p>
    <w:p w14:paraId="3EFBC03B" w14:textId="637DCE82" w:rsidR="00291887" w:rsidRDefault="00291887" w:rsidP="008723C0">
      <w:pPr>
        <w:pStyle w:val="Heading2"/>
      </w:pPr>
      <w:bookmarkStart w:id="11" w:name="_Toc77860049"/>
      <w:r>
        <w:t>Overvie</w:t>
      </w:r>
      <w:r w:rsidR="008723C0">
        <w:t>w</w:t>
      </w:r>
      <w:bookmarkEnd w:id="11"/>
    </w:p>
    <w:p w14:paraId="5B0A5E8A" w14:textId="38C94E86" w:rsidR="008723C0" w:rsidRPr="008723C0" w:rsidRDefault="008723C0" w:rsidP="008723C0">
      <w:r>
        <w:t xml:space="preserve">Operant behavior is </w:t>
      </w:r>
      <w:proofErr w:type="gramStart"/>
      <w:r>
        <w:t>the majority of</w:t>
      </w:r>
      <w:proofErr w:type="gramEnd"/>
      <w:r>
        <w:t xml:space="preserve"> </w:t>
      </w:r>
      <w:r w:rsidR="00843255">
        <w:t>behavior run during</w:t>
      </w:r>
      <w:r>
        <w:t xml:space="preserve"> </w:t>
      </w:r>
      <w:r w:rsidR="00D8382F">
        <w:t>STAR</w:t>
      </w:r>
      <w:r>
        <w:t xml:space="preserve">. It consists of a training/acquisition phase of 4 </w:t>
      </w:r>
      <w:r w:rsidR="00D92C5A">
        <w:t>steps</w:t>
      </w:r>
      <w:r>
        <w:t xml:space="preserve"> each with their own criteria needed to advance. This happens at each animal’s own pace depending how their performance each day. After learning the task, the animals run a </w:t>
      </w:r>
      <w:r w:rsidR="00960F52">
        <w:t>Pre-</w:t>
      </w:r>
      <w:r>
        <w:t xml:space="preserve">test consisting of 3 days of baseline ethanol consumption followed by 4 days of escalating </w:t>
      </w:r>
      <w:r w:rsidR="00843255">
        <w:t>punishment</w:t>
      </w:r>
      <w:r>
        <w:t xml:space="preserve"> of ethanol. After the </w:t>
      </w:r>
      <w:r w:rsidR="00960F52">
        <w:t>Pre-</w:t>
      </w:r>
      <w:r>
        <w:t xml:space="preserve">test, animals will have another period in which they are exposed to different conditions (depends on experiment and what’s being tested) and then run the same 7-day experiment </w:t>
      </w:r>
      <w:r w:rsidR="00CC23BE">
        <w:t>from</w:t>
      </w:r>
      <w:r>
        <w:t xml:space="preserve"> </w:t>
      </w:r>
      <w:r w:rsidR="00960F52">
        <w:t>Pre-</w:t>
      </w:r>
      <w:r>
        <w:t xml:space="preserve">test as a </w:t>
      </w:r>
      <w:r w:rsidR="00960F52">
        <w:t>Post-</w:t>
      </w:r>
      <w:r>
        <w:t xml:space="preserve">test. How each animal’s behavior changes from the </w:t>
      </w:r>
      <w:r w:rsidR="00960F52">
        <w:t>Pre-</w:t>
      </w:r>
      <w:r>
        <w:t xml:space="preserve"> to </w:t>
      </w:r>
      <w:r w:rsidR="00960F52">
        <w:t>Post-</w:t>
      </w:r>
      <w:r>
        <w:t>test can give us insights into how the middle exposure period can affect animal’s compulsive drinking behavior.</w:t>
      </w:r>
    </w:p>
    <w:p w14:paraId="37D9BC6F" w14:textId="0198B9F0" w:rsidR="00291887" w:rsidRPr="00291887" w:rsidRDefault="00291887" w:rsidP="00291887">
      <w:pPr>
        <w:pStyle w:val="Heading2"/>
      </w:pPr>
      <w:bookmarkStart w:id="12" w:name="_Toc77860050"/>
      <w:r>
        <w:t>Step-by-Step Guide</w:t>
      </w:r>
      <w:bookmarkEnd w:id="12"/>
    </w:p>
    <w:p w14:paraId="371EC22B" w14:textId="4A18F82F" w:rsidR="00D73B1E" w:rsidRPr="00D73B1E" w:rsidRDefault="00CC23BE" w:rsidP="00221714">
      <w:pPr>
        <w:pStyle w:val="ListParagraph"/>
        <w:numPr>
          <w:ilvl w:val="0"/>
          <w:numId w:val="6"/>
        </w:numPr>
      </w:pPr>
      <w:r w:rsidRPr="005D3AE1">
        <w:rPr>
          <w:b/>
          <w:color w:val="FF0000"/>
        </w:rPr>
        <w:t>CRITICAL</w:t>
      </w:r>
      <w:r w:rsidR="00D73B1E" w:rsidRPr="00CC23BE">
        <w:rPr>
          <w:b/>
        </w:rPr>
        <w:t>:</w:t>
      </w:r>
      <w:r w:rsidR="00D73B1E">
        <w:rPr>
          <w:b/>
          <w:color w:val="9933FF"/>
        </w:rPr>
        <w:t xml:space="preserve"> </w:t>
      </w:r>
      <w:r w:rsidR="00D73B1E">
        <w:t xml:space="preserve">All animals will run each day in the </w:t>
      </w:r>
      <w:r w:rsidR="003F73EE">
        <w:t xml:space="preserve">same operant box – this should never change. </w:t>
      </w:r>
      <w:r w:rsidR="00FB60AE">
        <w:t>B</w:t>
      </w:r>
      <w:r w:rsidR="003F73EE">
        <w:t>ox cleani</w:t>
      </w:r>
      <w:r w:rsidR="00FB60AE">
        <w:t>ng will happen between animals to ensure</w:t>
      </w:r>
      <w:r w:rsidR="003F73EE">
        <w:t xml:space="preserve"> that the conditions are as simil</w:t>
      </w:r>
      <w:r w:rsidR="00246255">
        <w:t>ar as possible from day to day</w:t>
      </w:r>
    </w:p>
    <w:p w14:paraId="320BCF47" w14:textId="299F394D" w:rsidR="00EA7D03" w:rsidRDefault="00CC23BE" w:rsidP="00221714">
      <w:pPr>
        <w:pStyle w:val="ListParagraph"/>
        <w:numPr>
          <w:ilvl w:val="0"/>
          <w:numId w:val="6"/>
        </w:numPr>
      </w:pPr>
      <w:r w:rsidRPr="005D3AE1">
        <w:rPr>
          <w:b/>
          <w:color w:val="FF9900"/>
        </w:rPr>
        <w:t>Important</w:t>
      </w:r>
      <w:r w:rsidRPr="00CC23BE">
        <w:rPr>
          <w:b/>
        </w:rPr>
        <w:t>:</w:t>
      </w:r>
      <w:r w:rsidR="00221714" w:rsidRPr="00EA7D03">
        <w:rPr>
          <w:b/>
          <w:color w:val="9933FF"/>
        </w:rPr>
        <w:t xml:space="preserve"> </w:t>
      </w:r>
      <w:r w:rsidR="00221714">
        <w:t>As mentioned in the experimental overview, animals should be run at the same time every day, starting ~2 hours into the dark (active) cycle.</w:t>
      </w:r>
      <w:r w:rsidR="00EA7D03">
        <w:t xml:space="preserve"> Feeding will take place at the end of the day when all animals have completed the experiment for the day, so that the time between feeding and start of operant behavior the following day will</w:t>
      </w:r>
      <w:r w:rsidR="00087542">
        <w:t xml:space="preserve"> be consistent for </w:t>
      </w:r>
      <w:r w:rsidR="00843255">
        <w:t>each animal</w:t>
      </w:r>
    </w:p>
    <w:p w14:paraId="0A1BA09A" w14:textId="1942EED6" w:rsidR="00EA7D03" w:rsidRDefault="00EA7D03" w:rsidP="00EA7D03">
      <w:pPr>
        <w:pStyle w:val="ListParagraph"/>
        <w:numPr>
          <w:ilvl w:val="0"/>
          <w:numId w:val="6"/>
        </w:numPr>
      </w:pPr>
      <w:r>
        <w:t xml:space="preserve">Bring animals to experimental area at least 30 minutes prior to </w:t>
      </w:r>
      <w:r w:rsidR="005F1960">
        <w:t xml:space="preserve">when </w:t>
      </w:r>
      <w:r>
        <w:t>experiment should start to allow animals to acclimate to environment</w:t>
      </w:r>
    </w:p>
    <w:p w14:paraId="60ECE433" w14:textId="77777777" w:rsidR="00EA7D03" w:rsidRDefault="00EA7D03" w:rsidP="00221714">
      <w:pPr>
        <w:pStyle w:val="ListParagraph"/>
        <w:numPr>
          <w:ilvl w:val="0"/>
          <w:numId w:val="6"/>
        </w:numPr>
      </w:pPr>
      <w:r>
        <w:t xml:space="preserve">Set up boxes </w:t>
      </w:r>
      <w:r w:rsidR="00087542">
        <w:t>by screwing in flooring and changing any parts out as needed</w:t>
      </w:r>
    </w:p>
    <w:p w14:paraId="7AFB5177" w14:textId="66F0AADB" w:rsidR="00EA7D03" w:rsidRDefault="00EA7D03" w:rsidP="00221714">
      <w:pPr>
        <w:pStyle w:val="ListParagraph"/>
        <w:numPr>
          <w:ilvl w:val="0"/>
          <w:numId w:val="6"/>
        </w:numPr>
      </w:pPr>
      <w:r>
        <w:t>Clean all boxes and floors thoroughly with 0.03% acetic acid before any animals run. This will also be done between animals, but by wiping down first with acetic acid, all animals get the same conditions</w:t>
      </w:r>
    </w:p>
    <w:p w14:paraId="39D79496" w14:textId="4322432F" w:rsidR="00B51EC2" w:rsidRDefault="00B51EC2" w:rsidP="00B51EC2">
      <w:pPr>
        <w:pStyle w:val="ListParagraph"/>
        <w:numPr>
          <w:ilvl w:val="1"/>
          <w:numId w:val="6"/>
        </w:numPr>
      </w:pPr>
      <w:r w:rsidRPr="005D3AE1">
        <w:rPr>
          <w:b/>
          <w:color w:val="FF9900"/>
        </w:rPr>
        <w:t>Important</w:t>
      </w:r>
      <w:r w:rsidRPr="00CC23BE">
        <w:rPr>
          <w:b/>
        </w:rPr>
        <w:t>:</w:t>
      </w:r>
      <w:r w:rsidRPr="00EA7D03">
        <w:rPr>
          <w:b/>
          <w:color w:val="9933FF"/>
        </w:rPr>
        <w:t xml:space="preserve"> </w:t>
      </w:r>
      <w:r>
        <w:t>Avoid spraying acetic acid near/into the boxes as the aerosol can mess up the delicate electronics in the chambers. Instead, spray onto paper towel and then wipe down necessary areas</w:t>
      </w:r>
    </w:p>
    <w:p w14:paraId="16713360" w14:textId="5EFDC4D2" w:rsidR="00087542" w:rsidRDefault="00087542" w:rsidP="00221714">
      <w:pPr>
        <w:pStyle w:val="ListParagraph"/>
        <w:numPr>
          <w:ilvl w:val="0"/>
          <w:numId w:val="6"/>
        </w:numPr>
      </w:pPr>
      <w:r>
        <w:t>Put a paper towel down in the bottom of each metal tray underneath the grid flooring to make for easier cleanup</w:t>
      </w:r>
      <w:r w:rsidR="00042E32">
        <w:t xml:space="preserve"> and more clear video backgrounds</w:t>
      </w:r>
    </w:p>
    <w:p w14:paraId="0FCCA825" w14:textId="77777777" w:rsidR="00EA7D03" w:rsidRDefault="00087542" w:rsidP="00221714">
      <w:pPr>
        <w:pStyle w:val="ListParagraph"/>
        <w:numPr>
          <w:ilvl w:val="0"/>
          <w:numId w:val="6"/>
        </w:numPr>
      </w:pPr>
      <w:r>
        <w:t>Fill up and test sipper tubes</w:t>
      </w:r>
    </w:p>
    <w:p w14:paraId="395B44BF" w14:textId="513A9031" w:rsidR="00087542" w:rsidRDefault="00087542" w:rsidP="00087542">
      <w:pPr>
        <w:pStyle w:val="ListParagraph"/>
        <w:numPr>
          <w:ilvl w:val="1"/>
          <w:numId w:val="6"/>
        </w:numPr>
      </w:pPr>
      <w:r>
        <w:t xml:space="preserve">See </w:t>
      </w:r>
      <w:hyperlink r:id="rId10" w:history="1">
        <w:r w:rsidR="00F91825" w:rsidRPr="00F91825">
          <w:rPr>
            <w:rStyle w:val="Hyperlink"/>
          </w:rPr>
          <w:t>lickometer filling guide</w:t>
        </w:r>
      </w:hyperlink>
      <w:r w:rsidR="00F91825">
        <w:rPr>
          <w:b/>
        </w:rPr>
        <w:t xml:space="preserve"> </w:t>
      </w:r>
      <w:r>
        <w:t>for specifics on how to do this and additional notes</w:t>
      </w:r>
    </w:p>
    <w:p w14:paraId="7D691ACA" w14:textId="77777777" w:rsidR="00D01D5B" w:rsidRDefault="00D01D5B" w:rsidP="00D01D5B">
      <w:pPr>
        <w:pStyle w:val="ListParagraph"/>
        <w:numPr>
          <w:ilvl w:val="0"/>
          <w:numId w:val="6"/>
        </w:numPr>
      </w:pPr>
      <w:r>
        <w:t>Carefully put tubes onto retractable sipper tube and tighten the screw to ensure contact between tube and the lickometer wire</w:t>
      </w:r>
    </w:p>
    <w:p w14:paraId="4435BB8E" w14:textId="059A3686" w:rsidR="00D01D5B" w:rsidRDefault="00BB6F96" w:rsidP="00D01D5B">
      <w:pPr>
        <w:pStyle w:val="ListParagraph"/>
        <w:numPr>
          <w:ilvl w:val="0"/>
          <w:numId w:val="6"/>
        </w:numPr>
      </w:pPr>
      <w:r w:rsidRPr="005D3AE1">
        <w:rPr>
          <w:b/>
          <w:color w:val="FF0000"/>
        </w:rPr>
        <w:t>CRITICAL</w:t>
      </w:r>
      <w:r w:rsidR="00CC23BE" w:rsidRPr="00CC23BE">
        <w:rPr>
          <w:b/>
        </w:rPr>
        <w:t>:</w:t>
      </w:r>
      <w:r w:rsidR="00A652FB" w:rsidRPr="00EA7D03">
        <w:rPr>
          <w:b/>
          <w:color w:val="9933FF"/>
        </w:rPr>
        <w:t xml:space="preserve"> </w:t>
      </w:r>
      <w:r w:rsidR="00D01D5B">
        <w:t xml:space="preserve">Load the program that will be run that day and start it. Test each nosepoke as well as the lickometer (once extended) using the </w:t>
      </w:r>
      <w:hyperlink r:id="rId11" w:history="1">
        <w:r w:rsidR="00062AB1">
          <w:rPr>
            <w:rStyle w:val="Hyperlink"/>
          </w:rPr>
          <w:t>lickometer testin</w:t>
        </w:r>
        <w:r w:rsidR="00062AB1">
          <w:rPr>
            <w:rStyle w:val="Hyperlink"/>
          </w:rPr>
          <w:t>g</w:t>
        </w:r>
        <w:r w:rsidR="00062AB1">
          <w:rPr>
            <w:rStyle w:val="Hyperlink"/>
          </w:rPr>
          <w:t xml:space="preserve"> guide</w:t>
        </w:r>
      </w:hyperlink>
      <w:r w:rsidR="00D01D5B">
        <w:t xml:space="preserve">. Make sure nose-pokes are </w:t>
      </w:r>
      <w:r w:rsidR="008D599F">
        <w:t>illuminated and correctly counted</w:t>
      </w:r>
      <w:r w:rsidR="00D73B1E">
        <w:t xml:space="preserve"> and that contacts are counted accurately</w:t>
      </w:r>
    </w:p>
    <w:p w14:paraId="5C69204F" w14:textId="04DC8AF0" w:rsidR="00E1570C" w:rsidRDefault="00CC23BE" w:rsidP="00D01D5B">
      <w:pPr>
        <w:pStyle w:val="ListParagraph"/>
        <w:numPr>
          <w:ilvl w:val="0"/>
          <w:numId w:val="6"/>
        </w:numPr>
      </w:pPr>
      <w:bookmarkStart w:id="13" w:name="OLE_LINK1"/>
      <w:r w:rsidRPr="005D3AE1">
        <w:rPr>
          <w:b/>
          <w:color w:val="FF9900"/>
        </w:rPr>
        <w:t>Important</w:t>
      </w:r>
      <w:r w:rsidRPr="00CC23BE">
        <w:rPr>
          <w:b/>
        </w:rPr>
        <w:t>:</w:t>
      </w:r>
      <w:r w:rsidR="00A652FB">
        <w:t xml:space="preserve"> </w:t>
      </w:r>
      <w:bookmarkEnd w:id="13"/>
      <w:r w:rsidR="00E1570C">
        <w:t>After testing, read the volume of the lickometer to the nearest 0.05mL</w:t>
      </w:r>
    </w:p>
    <w:p w14:paraId="48095BDA" w14:textId="1BC29DB6" w:rsidR="00D73B1E" w:rsidRDefault="00D73B1E" w:rsidP="00D01D5B">
      <w:pPr>
        <w:pStyle w:val="ListParagraph"/>
        <w:numPr>
          <w:ilvl w:val="0"/>
          <w:numId w:val="6"/>
        </w:numPr>
      </w:pPr>
      <w:r>
        <w:t>End program, reload it using proper information for each animal, and place animal in box to run. Once program is started, it will run for 1 hour (3600 seconds) or until the criteria is met for the day</w:t>
      </w:r>
    </w:p>
    <w:p w14:paraId="14292044" w14:textId="678EDB03" w:rsidR="008B0FDD" w:rsidRDefault="008B0FDD" w:rsidP="00D01D5B">
      <w:pPr>
        <w:pStyle w:val="ListParagraph"/>
        <w:numPr>
          <w:ilvl w:val="0"/>
          <w:numId w:val="6"/>
        </w:numPr>
      </w:pPr>
      <w:r w:rsidRPr="005D3AE1">
        <w:rPr>
          <w:b/>
          <w:color w:val="538135" w:themeColor="accent6" w:themeShade="BF"/>
        </w:rPr>
        <w:t>Optional</w:t>
      </w:r>
      <w:r w:rsidRPr="00CC23BE">
        <w:rPr>
          <w:b/>
        </w:rPr>
        <w:t>:</w:t>
      </w:r>
      <w:r>
        <w:t xml:space="preserve"> If using video recording, make sure to start the video</w:t>
      </w:r>
      <w:r w:rsidR="008868E1">
        <w:t xml:space="preserve">(s) </w:t>
      </w:r>
      <w:r>
        <w:t>prior to animal</w:t>
      </w:r>
      <w:r w:rsidR="008868E1">
        <w:t>s</w:t>
      </w:r>
      <w:r>
        <w:t xml:space="preserve"> going into the operant chamber. That will ensure that </w:t>
      </w:r>
      <w:r w:rsidR="008868E1">
        <w:t>all</w:t>
      </w:r>
      <w:r>
        <w:t xml:space="preserve"> behavior is captured on video and in case there is any mistake with the box operation, the animal’s behavior can still be </w:t>
      </w:r>
      <w:r w:rsidR="008868E1">
        <w:t>observed</w:t>
      </w:r>
      <w:r w:rsidR="00535BA8">
        <w:t xml:space="preserve"> and measured</w:t>
      </w:r>
    </w:p>
    <w:p w14:paraId="2A159C47" w14:textId="67C5CC9A" w:rsidR="00D73B1E" w:rsidRDefault="00CC23BE" w:rsidP="00D01D5B">
      <w:pPr>
        <w:pStyle w:val="ListParagraph"/>
        <w:numPr>
          <w:ilvl w:val="0"/>
          <w:numId w:val="6"/>
        </w:numPr>
      </w:pPr>
      <w:r w:rsidRPr="005D3AE1">
        <w:rPr>
          <w:b/>
          <w:color w:val="FF9900"/>
        </w:rPr>
        <w:lastRenderedPageBreak/>
        <w:t>Important</w:t>
      </w:r>
      <w:r w:rsidRPr="00CC23BE">
        <w:rPr>
          <w:b/>
        </w:rPr>
        <w:t>:</w:t>
      </w:r>
      <w:r w:rsidR="00D73B1E" w:rsidRPr="00EA7D03">
        <w:rPr>
          <w:b/>
          <w:color w:val="9933FF"/>
        </w:rPr>
        <w:t xml:space="preserve"> </w:t>
      </w:r>
      <w:r w:rsidR="00D73B1E">
        <w:t xml:space="preserve">When animal has completed experiment for the day, weigh immediately upon removing from operant box before returning to home cage. </w:t>
      </w:r>
      <w:r w:rsidR="00246255">
        <w:t>The animal’s weight will be used to normalize any alcohol intake and thus is critical to write down as close to when the animal ran as possible</w:t>
      </w:r>
    </w:p>
    <w:p w14:paraId="2A470B5C" w14:textId="281ACC16" w:rsidR="008B0FDD" w:rsidRDefault="008B0FDD" w:rsidP="00D01D5B">
      <w:pPr>
        <w:pStyle w:val="ListParagraph"/>
        <w:numPr>
          <w:ilvl w:val="0"/>
          <w:numId w:val="6"/>
        </w:numPr>
      </w:pPr>
      <w:r w:rsidRPr="005D3AE1">
        <w:rPr>
          <w:b/>
          <w:color w:val="538135" w:themeColor="accent6" w:themeShade="BF"/>
        </w:rPr>
        <w:t>Optional</w:t>
      </w:r>
      <w:r w:rsidRPr="00CC23BE">
        <w:rPr>
          <w:b/>
        </w:rPr>
        <w:t>:</w:t>
      </w:r>
      <w:r>
        <w:t xml:space="preserve"> Stop video(s) once animals have been removed from the box</w:t>
      </w:r>
    </w:p>
    <w:p w14:paraId="1A1920B8" w14:textId="459574D3" w:rsidR="00A652FB" w:rsidRDefault="00BB6F96" w:rsidP="00D01D5B">
      <w:pPr>
        <w:pStyle w:val="ListParagraph"/>
        <w:numPr>
          <w:ilvl w:val="0"/>
          <w:numId w:val="6"/>
        </w:numPr>
      </w:pPr>
      <w:r w:rsidRPr="005D3AE1">
        <w:rPr>
          <w:b/>
          <w:color w:val="FF9900"/>
        </w:rPr>
        <w:t>Important</w:t>
      </w:r>
      <w:r w:rsidR="00CC23BE" w:rsidRPr="00CC23BE">
        <w:rPr>
          <w:b/>
        </w:rPr>
        <w:t>:</w:t>
      </w:r>
      <w:r w:rsidR="00CC23BE">
        <w:rPr>
          <w:b/>
        </w:rPr>
        <w:t xml:space="preserve"> </w:t>
      </w:r>
      <w:r w:rsidR="00A652FB">
        <w:t>After the animal is done, but before retesting any of the tubes, write down the final volume of solution</w:t>
      </w:r>
      <w:r w:rsidR="00126362">
        <w:t xml:space="preserve"> to the nearest 0.05mL</w:t>
      </w:r>
      <w:r w:rsidR="00A652FB">
        <w:t>. If volume isn’t recorded, total consumption for the day cannot be calculated</w:t>
      </w:r>
    </w:p>
    <w:p w14:paraId="5108ECEA" w14:textId="7771DE57" w:rsidR="00246255" w:rsidRDefault="00021F62" w:rsidP="00A652FB">
      <w:pPr>
        <w:pStyle w:val="ListParagraph"/>
        <w:numPr>
          <w:ilvl w:val="1"/>
          <w:numId w:val="6"/>
        </w:numPr>
      </w:pPr>
      <w:r w:rsidRPr="00217125">
        <w:rPr>
          <w:b/>
          <w:color w:val="7030A0"/>
        </w:rPr>
        <w:t>Experimenter Note:</w:t>
      </w:r>
      <w:r>
        <w:t xml:space="preserve"> </w:t>
      </w:r>
      <w:r w:rsidR="00A652FB">
        <w:t xml:space="preserve">As a general rule of thumb, 100 licks </w:t>
      </w:r>
      <w:proofErr w:type="gramStart"/>
      <w:r w:rsidR="00A652FB">
        <w:t>is</w:t>
      </w:r>
      <w:proofErr w:type="gramEnd"/>
      <w:r w:rsidR="00A652FB">
        <w:t xml:space="preserve"> ~0.1mL consumption. If the amount consumed is very disproportionate to that (</w:t>
      </w:r>
      <w:proofErr w:type="gramStart"/>
      <w:r w:rsidR="00A652FB">
        <w:t>e.g.</w:t>
      </w:r>
      <w:proofErr w:type="gramEnd"/>
      <w:r w:rsidR="00A652FB">
        <w:t xml:space="preserve"> 100 licks and negligible volume difference OR 0.2mL volume change and only 50 licks) check that spout is working correctly</w:t>
      </w:r>
    </w:p>
    <w:p w14:paraId="5E759E14" w14:textId="77777777" w:rsidR="000C6107" w:rsidRDefault="000C6107" w:rsidP="000C6107">
      <w:pPr>
        <w:pStyle w:val="ListParagraph"/>
        <w:numPr>
          <w:ilvl w:val="0"/>
          <w:numId w:val="6"/>
        </w:numPr>
      </w:pPr>
      <w:r>
        <w:t>Remove the paper towel from the tray and clean out box again using 0.03% acetic acid</w:t>
      </w:r>
    </w:p>
    <w:p w14:paraId="7CC64A2B" w14:textId="77777777" w:rsidR="0080611B" w:rsidRDefault="00BB6F96" w:rsidP="009E4A87">
      <w:pPr>
        <w:pStyle w:val="ListParagraph"/>
        <w:numPr>
          <w:ilvl w:val="0"/>
          <w:numId w:val="6"/>
        </w:numPr>
      </w:pPr>
      <w:r w:rsidRPr="005D3AE1">
        <w:rPr>
          <w:b/>
          <w:color w:val="FF0000"/>
        </w:rPr>
        <w:t>CRITICAL</w:t>
      </w:r>
      <w:r w:rsidR="00CC23BE" w:rsidRPr="00CC23BE">
        <w:rPr>
          <w:b/>
        </w:rPr>
        <w:t>:</w:t>
      </w:r>
      <w:r w:rsidR="003338D5">
        <w:rPr>
          <w:b/>
          <w:color w:val="538135" w:themeColor="accent6" w:themeShade="BF"/>
        </w:rPr>
        <w:t xml:space="preserve"> </w:t>
      </w:r>
      <w:r w:rsidR="000C6107">
        <w:t>Retest lickometer between animals to ensure that counting and fl</w:t>
      </w:r>
      <w:r w:rsidR="009E4A87">
        <w:t>ow are still working as expected</w:t>
      </w:r>
    </w:p>
    <w:p w14:paraId="7D4F4430" w14:textId="77777777" w:rsidR="0080611B" w:rsidRDefault="0080611B" w:rsidP="0080611B">
      <w:pPr>
        <w:pStyle w:val="Heading2"/>
      </w:pPr>
      <w:r>
        <w:t>Overview of Phases, Criteria, and Programs</w:t>
      </w:r>
    </w:p>
    <w:tbl>
      <w:tblPr>
        <w:tblStyle w:val="TableGrid"/>
        <w:tblW w:w="0" w:type="auto"/>
        <w:tblLook w:val="04A0" w:firstRow="1" w:lastRow="0" w:firstColumn="1" w:lastColumn="0" w:noHBand="0" w:noVBand="1"/>
      </w:tblPr>
      <w:tblGrid>
        <w:gridCol w:w="1068"/>
        <w:gridCol w:w="1404"/>
        <w:gridCol w:w="1595"/>
        <w:gridCol w:w="1595"/>
        <w:gridCol w:w="1701"/>
        <w:gridCol w:w="1987"/>
      </w:tblGrid>
      <w:tr w:rsidR="00250793" w14:paraId="78315867" w14:textId="77777777" w:rsidTr="001E76CD">
        <w:tc>
          <w:tcPr>
            <w:tcW w:w="1068" w:type="dxa"/>
            <w:vAlign w:val="center"/>
          </w:tcPr>
          <w:p w14:paraId="73E8D91C" w14:textId="77777777" w:rsidR="0080611B" w:rsidRDefault="0080611B" w:rsidP="001E76CD">
            <w:pPr>
              <w:jc w:val="center"/>
            </w:pPr>
          </w:p>
        </w:tc>
        <w:tc>
          <w:tcPr>
            <w:tcW w:w="1404" w:type="dxa"/>
            <w:vAlign w:val="center"/>
          </w:tcPr>
          <w:p w14:paraId="46DDF11F" w14:textId="48798E4D" w:rsidR="0080611B" w:rsidRPr="0080611B" w:rsidRDefault="0080611B" w:rsidP="001E76CD">
            <w:pPr>
              <w:jc w:val="center"/>
              <w:rPr>
                <w:b/>
              </w:rPr>
            </w:pPr>
            <w:r w:rsidRPr="0080611B">
              <w:rPr>
                <w:b/>
              </w:rPr>
              <w:t>Magazine Training</w:t>
            </w:r>
          </w:p>
        </w:tc>
        <w:tc>
          <w:tcPr>
            <w:tcW w:w="1595" w:type="dxa"/>
            <w:vAlign w:val="center"/>
          </w:tcPr>
          <w:p w14:paraId="4B78061B" w14:textId="669F7805" w:rsidR="0080611B" w:rsidRPr="0080611B" w:rsidRDefault="0080611B" w:rsidP="001E76CD">
            <w:pPr>
              <w:jc w:val="center"/>
              <w:rPr>
                <w:b/>
              </w:rPr>
            </w:pPr>
            <w:r w:rsidRPr="0080611B">
              <w:rPr>
                <w:b/>
              </w:rPr>
              <w:t>Operant Training 1</w:t>
            </w:r>
          </w:p>
        </w:tc>
        <w:tc>
          <w:tcPr>
            <w:tcW w:w="1595" w:type="dxa"/>
            <w:vAlign w:val="center"/>
          </w:tcPr>
          <w:p w14:paraId="568F1D76" w14:textId="4490AC4D" w:rsidR="0080611B" w:rsidRPr="0080611B" w:rsidRDefault="0080611B" w:rsidP="001E76CD">
            <w:pPr>
              <w:jc w:val="center"/>
              <w:rPr>
                <w:b/>
              </w:rPr>
            </w:pPr>
            <w:r w:rsidRPr="0080611B">
              <w:rPr>
                <w:b/>
              </w:rPr>
              <w:t>Operant Training 2</w:t>
            </w:r>
          </w:p>
        </w:tc>
        <w:tc>
          <w:tcPr>
            <w:tcW w:w="1701" w:type="dxa"/>
            <w:vAlign w:val="center"/>
          </w:tcPr>
          <w:p w14:paraId="4B6A2809" w14:textId="0B50E119" w:rsidR="0080611B" w:rsidRPr="0080611B" w:rsidRDefault="0080611B" w:rsidP="001E76CD">
            <w:pPr>
              <w:jc w:val="center"/>
              <w:rPr>
                <w:b/>
              </w:rPr>
            </w:pPr>
            <w:r w:rsidRPr="0080611B">
              <w:rPr>
                <w:b/>
              </w:rPr>
              <w:t>Operant Discrimination</w:t>
            </w:r>
          </w:p>
        </w:tc>
        <w:tc>
          <w:tcPr>
            <w:tcW w:w="1987" w:type="dxa"/>
            <w:vAlign w:val="center"/>
          </w:tcPr>
          <w:p w14:paraId="428EB7E3" w14:textId="5CE45024" w:rsidR="0080611B" w:rsidRPr="0080611B" w:rsidRDefault="0080611B" w:rsidP="001E76CD">
            <w:pPr>
              <w:jc w:val="center"/>
              <w:rPr>
                <w:b/>
              </w:rPr>
            </w:pPr>
            <w:r w:rsidRPr="0080611B">
              <w:rPr>
                <w:b/>
              </w:rPr>
              <w:t>STAR Test</w:t>
            </w:r>
          </w:p>
        </w:tc>
      </w:tr>
      <w:tr w:rsidR="00250793" w14:paraId="55B1BEB1" w14:textId="77777777" w:rsidTr="001E76CD">
        <w:tc>
          <w:tcPr>
            <w:tcW w:w="1068" w:type="dxa"/>
            <w:vAlign w:val="center"/>
          </w:tcPr>
          <w:p w14:paraId="6D4CA6DE" w14:textId="084ED3EE" w:rsidR="0080611B" w:rsidRPr="0080611B" w:rsidRDefault="0080611B" w:rsidP="001E76CD">
            <w:pPr>
              <w:jc w:val="center"/>
              <w:rPr>
                <w:b/>
              </w:rPr>
            </w:pPr>
            <w:r w:rsidRPr="0080611B">
              <w:rPr>
                <w:b/>
              </w:rPr>
              <w:t>Trial Structure</w:t>
            </w:r>
          </w:p>
        </w:tc>
        <w:tc>
          <w:tcPr>
            <w:tcW w:w="1404" w:type="dxa"/>
            <w:vAlign w:val="center"/>
          </w:tcPr>
          <w:p w14:paraId="30AA7BED" w14:textId="577D3FEC" w:rsidR="0080611B" w:rsidRPr="0080611B" w:rsidRDefault="0080611B" w:rsidP="001E76CD">
            <w:pPr>
              <w:jc w:val="center"/>
              <w:rPr>
                <w:sz w:val="18"/>
                <w:szCs w:val="18"/>
              </w:rPr>
            </w:pPr>
            <w:r w:rsidRPr="0080611B">
              <w:rPr>
                <w:sz w:val="18"/>
                <w:szCs w:val="18"/>
              </w:rPr>
              <w:t xml:space="preserve">Sipper </w:t>
            </w:r>
            <w:proofErr w:type="gramStart"/>
            <w:r w:rsidRPr="0080611B">
              <w:rPr>
                <w:sz w:val="18"/>
                <w:szCs w:val="18"/>
              </w:rPr>
              <w:t>constantly extended,</w:t>
            </w:r>
            <w:proofErr w:type="gramEnd"/>
            <w:r w:rsidRPr="0080611B">
              <w:rPr>
                <w:sz w:val="18"/>
                <w:szCs w:val="18"/>
              </w:rPr>
              <w:t xml:space="preserve"> nose-pokes have no consequence</w:t>
            </w:r>
          </w:p>
        </w:tc>
        <w:tc>
          <w:tcPr>
            <w:tcW w:w="1595" w:type="dxa"/>
            <w:vAlign w:val="center"/>
          </w:tcPr>
          <w:p w14:paraId="1760EE85" w14:textId="3AF4F0A0" w:rsidR="0080611B" w:rsidRPr="0080611B" w:rsidRDefault="0080611B" w:rsidP="001E76CD">
            <w:pPr>
              <w:jc w:val="center"/>
              <w:rPr>
                <w:sz w:val="18"/>
                <w:szCs w:val="18"/>
              </w:rPr>
            </w:pPr>
            <w:r>
              <w:rPr>
                <w:sz w:val="18"/>
                <w:szCs w:val="18"/>
              </w:rPr>
              <w:t xml:space="preserve">FR1-30s schedule; 1 active nose poke </w:t>
            </w:r>
            <w:r w:rsidRPr="0080611B">
              <w:rPr>
                <w:sz w:val="18"/>
                <w:szCs w:val="18"/>
              </w:rPr>
              <w:sym w:font="Wingdings" w:char="F0E0"/>
            </w:r>
            <w:r>
              <w:rPr>
                <w:sz w:val="18"/>
                <w:szCs w:val="18"/>
              </w:rPr>
              <w:t xml:space="preserve"> 30s extension of tube containing 15% EtOH</w:t>
            </w:r>
          </w:p>
        </w:tc>
        <w:tc>
          <w:tcPr>
            <w:tcW w:w="1595" w:type="dxa"/>
            <w:vAlign w:val="center"/>
          </w:tcPr>
          <w:p w14:paraId="7CAB195D" w14:textId="72872520" w:rsidR="0080611B" w:rsidRPr="0080611B" w:rsidRDefault="0080611B" w:rsidP="001E76CD">
            <w:pPr>
              <w:jc w:val="center"/>
              <w:rPr>
                <w:sz w:val="18"/>
                <w:szCs w:val="18"/>
              </w:rPr>
            </w:pPr>
            <w:r>
              <w:rPr>
                <w:sz w:val="18"/>
                <w:szCs w:val="18"/>
              </w:rPr>
              <w:t xml:space="preserve">FR1-10s schedule; 1 active nose poke </w:t>
            </w:r>
            <w:r w:rsidRPr="0080611B">
              <w:rPr>
                <w:sz w:val="18"/>
                <w:szCs w:val="18"/>
              </w:rPr>
              <w:sym w:font="Wingdings" w:char="F0E0"/>
            </w:r>
            <w:r>
              <w:rPr>
                <w:sz w:val="18"/>
                <w:szCs w:val="18"/>
              </w:rPr>
              <w:t xml:space="preserve"> 10s extension of tube containing 15% EtOH</w:t>
            </w:r>
          </w:p>
        </w:tc>
        <w:tc>
          <w:tcPr>
            <w:tcW w:w="1701" w:type="dxa"/>
            <w:vAlign w:val="center"/>
          </w:tcPr>
          <w:p w14:paraId="4AF8F5B4" w14:textId="28CD3148" w:rsidR="0080611B" w:rsidRPr="0080611B" w:rsidRDefault="0080611B" w:rsidP="001E76CD">
            <w:pPr>
              <w:jc w:val="center"/>
              <w:rPr>
                <w:sz w:val="18"/>
                <w:szCs w:val="18"/>
              </w:rPr>
            </w:pPr>
            <w:r>
              <w:rPr>
                <w:sz w:val="18"/>
                <w:szCs w:val="18"/>
              </w:rPr>
              <w:t xml:space="preserve">FR5-10s schedule; 5 active nose pokes </w:t>
            </w:r>
            <w:r w:rsidRPr="0080611B">
              <w:rPr>
                <w:sz w:val="18"/>
                <w:szCs w:val="18"/>
              </w:rPr>
              <w:sym w:font="Wingdings" w:char="F0E0"/>
            </w:r>
            <w:r>
              <w:rPr>
                <w:sz w:val="18"/>
                <w:szCs w:val="18"/>
              </w:rPr>
              <w:t xml:space="preserve"> 30s extension of tube containing 15% EtOH</w:t>
            </w:r>
          </w:p>
        </w:tc>
        <w:tc>
          <w:tcPr>
            <w:tcW w:w="1987" w:type="dxa"/>
            <w:vAlign w:val="center"/>
          </w:tcPr>
          <w:p w14:paraId="4BF6CA0A" w14:textId="55CA7E20" w:rsidR="0080611B" w:rsidRPr="0080611B" w:rsidRDefault="0080611B" w:rsidP="001E76CD">
            <w:pPr>
              <w:jc w:val="center"/>
              <w:rPr>
                <w:sz w:val="18"/>
                <w:szCs w:val="18"/>
              </w:rPr>
            </w:pPr>
            <w:r>
              <w:rPr>
                <w:sz w:val="18"/>
                <w:szCs w:val="18"/>
              </w:rPr>
              <w:t xml:space="preserve">FR10-10s schedule; 10 active nose pokes </w:t>
            </w:r>
            <w:r w:rsidRPr="0080611B">
              <w:rPr>
                <w:sz w:val="18"/>
                <w:szCs w:val="18"/>
              </w:rPr>
              <w:sym w:font="Wingdings" w:char="F0E0"/>
            </w:r>
            <w:r>
              <w:rPr>
                <w:sz w:val="18"/>
                <w:szCs w:val="18"/>
              </w:rPr>
              <w:t xml:space="preserve"> 10s extension of tube containing 15% EtOH or in water or 250-1000uM Quinine</w:t>
            </w:r>
          </w:p>
        </w:tc>
      </w:tr>
      <w:tr w:rsidR="00250793" w14:paraId="219BFD8B" w14:textId="77777777" w:rsidTr="001E76CD">
        <w:tc>
          <w:tcPr>
            <w:tcW w:w="1068" w:type="dxa"/>
            <w:vAlign w:val="center"/>
          </w:tcPr>
          <w:p w14:paraId="18195890" w14:textId="73748204" w:rsidR="0080611B" w:rsidRPr="0080611B" w:rsidRDefault="0080611B" w:rsidP="001E76CD">
            <w:pPr>
              <w:jc w:val="center"/>
              <w:rPr>
                <w:b/>
              </w:rPr>
            </w:pPr>
            <w:r w:rsidRPr="0080611B">
              <w:rPr>
                <w:b/>
              </w:rPr>
              <w:t>Session End Criteria</w:t>
            </w:r>
          </w:p>
        </w:tc>
        <w:tc>
          <w:tcPr>
            <w:tcW w:w="1404" w:type="dxa"/>
            <w:vAlign w:val="center"/>
          </w:tcPr>
          <w:p w14:paraId="1F674A95" w14:textId="3A394E81" w:rsidR="0080611B" w:rsidRPr="0080611B" w:rsidRDefault="0080611B" w:rsidP="001E76CD">
            <w:pPr>
              <w:jc w:val="center"/>
              <w:rPr>
                <w:sz w:val="18"/>
                <w:szCs w:val="18"/>
              </w:rPr>
            </w:pPr>
            <w:r>
              <w:rPr>
                <w:sz w:val="18"/>
                <w:szCs w:val="18"/>
              </w:rPr>
              <w:t>100 licks</w:t>
            </w:r>
            <w:r>
              <w:rPr>
                <w:sz w:val="18"/>
                <w:szCs w:val="18"/>
              </w:rPr>
              <w:br/>
              <w:t>or</w:t>
            </w:r>
            <w:r>
              <w:rPr>
                <w:sz w:val="18"/>
                <w:szCs w:val="18"/>
              </w:rPr>
              <w:br/>
              <w:t>1 hour</w:t>
            </w:r>
          </w:p>
        </w:tc>
        <w:tc>
          <w:tcPr>
            <w:tcW w:w="1595" w:type="dxa"/>
            <w:vAlign w:val="center"/>
          </w:tcPr>
          <w:p w14:paraId="58A4E76E" w14:textId="28E55059" w:rsidR="0080611B" w:rsidRPr="0080611B" w:rsidRDefault="0080611B" w:rsidP="001E76CD">
            <w:pPr>
              <w:jc w:val="center"/>
              <w:rPr>
                <w:sz w:val="18"/>
                <w:szCs w:val="18"/>
              </w:rPr>
            </w:pPr>
            <w:r>
              <w:rPr>
                <w:sz w:val="18"/>
                <w:szCs w:val="18"/>
              </w:rPr>
              <w:t>100 licks</w:t>
            </w:r>
            <w:r>
              <w:rPr>
                <w:sz w:val="18"/>
                <w:szCs w:val="18"/>
              </w:rPr>
              <w:br/>
              <w:t>or</w:t>
            </w:r>
            <w:r>
              <w:rPr>
                <w:sz w:val="18"/>
                <w:szCs w:val="18"/>
              </w:rPr>
              <w:br/>
              <w:t>1 hour</w:t>
            </w:r>
          </w:p>
        </w:tc>
        <w:tc>
          <w:tcPr>
            <w:tcW w:w="1595" w:type="dxa"/>
            <w:vAlign w:val="center"/>
          </w:tcPr>
          <w:p w14:paraId="494F54BB" w14:textId="3D3552E8" w:rsidR="0080611B" w:rsidRPr="0080611B" w:rsidRDefault="0080611B" w:rsidP="001E76CD">
            <w:pPr>
              <w:jc w:val="center"/>
              <w:rPr>
                <w:sz w:val="18"/>
                <w:szCs w:val="18"/>
              </w:rPr>
            </w:pPr>
            <w:r>
              <w:rPr>
                <w:sz w:val="18"/>
                <w:szCs w:val="18"/>
              </w:rPr>
              <w:t>100 licks</w:t>
            </w:r>
            <w:r>
              <w:rPr>
                <w:sz w:val="18"/>
                <w:szCs w:val="18"/>
              </w:rPr>
              <w:br/>
              <w:t>or</w:t>
            </w:r>
            <w:r>
              <w:rPr>
                <w:sz w:val="18"/>
                <w:szCs w:val="18"/>
              </w:rPr>
              <w:br/>
              <w:t>1 hour</w:t>
            </w:r>
          </w:p>
        </w:tc>
        <w:tc>
          <w:tcPr>
            <w:tcW w:w="1701" w:type="dxa"/>
            <w:vAlign w:val="center"/>
          </w:tcPr>
          <w:p w14:paraId="037267BF" w14:textId="112DAE84" w:rsidR="0080611B" w:rsidRPr="0080611B" w:rsidRDefault="0080611B" w:rsidP="001E76CD">
            <w:pPr>
              <w:jc w:val="center"/>
              <w:rPr>
                <w:sz w:val="18"/>
                <w:szCs w:val="18"/>
              </w:rPr>
            </w:pPr>
            <w:r>
              <w:rPr>
                <w:sz w:val="18"/>
                <w:szCs w:val="18"/>
              </w:rPr>
              <w:t xml:space="preserve">100 licks and </w:t>
            </w:r>
            <w:r w:rsidRPr="0080611B">
              <w:rPr>
                <w:sz w:val="18"/>
              </w:rPr>
              <w:t>≥</w:t>
            </w:r>
            <w:r>
              <w:rPr>
                <w:sz w:val="18"/>
              </w:rPr>
              <w:t xml:space="preserve"> 70% nose pokes on active side</w:t>
            </w:r>
          </w:p>
        </w:tc>
        <w:tc>
          <w:tcPr>
            <w:tcW w:w="1987" w:type="dxa"/>
            <w:vAlign w:val="center"/>
          </w:tcPr>
          <w:p w14:paraId="5702CDBF" w14:textId="74933352" w:rsidR="0080611B" w:rsidRPr="0080611B" w:rsidRDefault="0080611B" w:rsidP="001E76CD">
            <w:pPr>
              <w:jc w:val="center"/>
              <w:rPr>
                <w:sz w:val="18"/>
                <w:szCs w:val="18"/>
              </w:rPr>
            </w:pPr>
            <w:r>
              <w:rPr>
                <w:sz w:val="18"/>
                <w:szCs w:val="18"/>
              </w:rPr>
              <w:t>1 hour</w:t>
            </w:r>
          </w:p>
        </w:tc>
      </w:tr>
      <w:tr w:rsidR="00250793" w14:paraId="68B9F18D" w14:textId="77777777" w:rsidTr="001E76CD">
        <w:tc>
          <w:tcPr>
            <w:tcW w:w="1068" w:type="dxa"/>
            <w:vAlign w:val="center"/>
          </w:tcPr>
          <w:p w14:paraId="785A7936" w14:textId="509125AF" w:rsidR="0080611B" w:rsidRPr="0080611B" w:rsidRDefault="0080611B" w:rsidP="001E76CD">
            <w:pPr>
              <w:jc w:val="center"/>
              <w:rPr>
                <w:b/>
              </w:rPr>
            </w:pPr>
            <w:r w:rsidRPr="0080611B">
              <w:rPr>
                <w:b/>
              </w:rPr>
              <w:t>Phase End Criteria</w:t>
            </w:r>
          </w:p>
        </w:tc>
        <w:tc>
          <w:tcPr>
            <w:tcW w:w="1404" w:type="dxa"/>
            <w:vAlign w:val="center"/>
          </w:tcPr>
          <w:p w14:paraId="41E903E7" w14:textId="63375D57" w:rsidR="0080611B" w:rsidRPr="0080611B" w:rsidRDefault="0080611B" w:rsidP="001E76CD">
            <w:pPr>
              <w:jc w:val="center"/>
              <w:rPr>
                <w:sz w:val="18"/>
                <w:szCs w:val="18"/>
              </w:rPr>
            </w:pPr>
            <w:r>
              <w:rPr>
                <w:sz w:val="18"/>
                <w:szCs w:val="18"/>
              </w:rPr>
              <w:t>Reaches lick criteria for 1 day</w:t>
            </w:r>
          </w:p>
        </w:tc>
        <w:tc>
          <w:tcPr>
            <w:tcW w:w="1595" w:type="dxa"/>
            <w:vAlign w:val="center"/>
          </w:tcPr>
          <w:p w14:paraId="2347955A" w14:textId="25B6DE68" w:rsidR="0080611B" w:rsidRPr="0080611B" w:rsidRDefault="0080611B" w:rsidP="001E76CD">
            <w:pPr>
              <w:jc w:val="center"/>
              <w:rPr>
                <w:sz w:val="18"/>
                <w:szCs w:val="18"/>
              </w:rPr>
            </w:pPr>
            <w:r>
              <w:rPr>
                <w:sz w:val="18"/>
                <w:szCs w:val="18"/>
              </w:rPr>
              <w:t>Reaches lick criteria for 2 consecutive days</w:t>
            </w:r>
          </w:p>
        </w:tc>
        <w:tc>
          <w:tcPr>
            <w:tcW w:w="1595" w:type="dxa"/>
            <w:vAlign w:val="center"/>
          </w:tcPr>
          <w:p w14:paraId="0C396EC5" w14:textId="4C508E4A" w:rsidR="0080611B" w:rsidRPr="0080611B" w:rsidRDefault="0080611B" w:rsidP="001E76CD">
            <w:pPr>
              <w:jc w:val="center"/>
              <w:rPr>
                <w:sz w:val="18"/>
                <w:szCs w:val="18"/>
              </w:rPr>
            </w:pPr>
            <w:r>
              <w:rPr>
                <w:sz w:val="18"/>
                <w:szCs w:val="18"/>
              </w:rPr>
              <w:t>Reaches lick criteria for 2 consecutive days</w:t>
            </w:r>
          </w:p>
        </w:tc>
        <w:tc>
          <w:tcPr>
            <w:tcW w:w="1701" w:type="dxa"/>
            <w:vAlign w:val="center"/>
          </w:tcPr>
          <w:p w14:paraId="125B4393" w14:textId="4865172A" w:rsidR="0080611B" w:rsidRPr="0080611B" w:rsidRDefault="0080611B" w:rsidP="001E76CD">
            <w:pPr>
              <w:jc w:val="center"/>
              <w:rPr>
                <w:sz w:val="18"/>
                <w:szCs w:val="18"/>
              </w:rPr>
            </w:pPr>
            <w:r>
              <w:rPr>
                <w:sz w:val="18"/>
                <w:szCs w:val="18"/>
              </w:rPr>
              <w:t>Reaches lick and discrimination criteria for 2 consecutive days</w:t>
            </w:r>
          </w:p>
        </w:tc>
        <w:tc>
          <w:tcPr>
            <w:tcW w:w="1987" w:type="dxa"/>
            <w:vAlign w:val="center"/>
          </w:tcPr>
          <w:p w14:paraId="523C273B" w14:textId="1E31852E" w:rsidR="0080611B" w:rsidRPr="0080611B" w:rsidRDefault="0080611B" w:rsidP="001E76CD">
            <w:pPr>
              <w:jc w:val="center"/>
              <w:rPr>
                <w:sz w:val="18"/>
                <w:szCs w:val="18"/>
              </w:rPr>
            </w:pPr>
            <w:r>
              <w:rPr>
                <w:sz w:val="18"/>
                <w:szCs w:val="18"/>
              </w:rPr>
              <w:t>Moves on after each day, regardless of performance</w:t>
            </w:r>
          </w:p>
        </w:tc>
      </w:tr>
      <w:tr w:rsidR="00E00828" w14:paraId="6A926F0C" w14:textId="77777777" w:rsidTr="001E76CD">
        <w:tc>
          <w:tcPr>
            <w:tcW w:w="1068" w:type="dxa"/>
            <w:vAlign w:val="center"/>
          </w:tcPr>
          <w:p w14:paraId="40749660" w14:textId="523E06CE" w:rsidR="00E00828" w:rsidRPr="0080611B" w:rsidRDefault="00E00828" w:rsidP="001E76CD">
            <w:pPr>
              <w:jc w:val="center"/>
              <w:rPr>
                <w:b/>
              </w:rPr>
            </w:pPr>
            <w:r w:rsidRPr="0080611B">
              <w:rPr>
                <w:b/>
              </w:rPr>
              <w:t>Program Run</w:t>
            </w:r>
          </w:p>
        </w:tc>
        <w:tc>
          <w:tcPr>
            <w:tcW w:w="1404" w:type="dxa"/>
            <w:vAlign w:val="center"/>
          </w:tcPr>
          <w:p w14:paraId="53B9A6C8" w14:textId="7194539F" w:rsidR="00E00828" w:rsidRPr="0080611B" w:rsidRDefault="00E00828" w:rsidP="001E76CD">
            <w:pPr>
              <w:jc w:val="center"/>
              <w:rPr>
                <w:sz w:val="18"/>
                <w:szCs w:val="18"/>
              </w:rPr>
            </w:pPr>
            <w:r>
              <w:rPr>
                <w:sz w:val="18"/>
                <w:szCs w:val="18"/>
              </w:rPr>
              <w:t>00_STAR_</w:t>
            </w:r>
            <w:r>
              <w:rPr>
                <w:sz w:val="18"/>
                <w:szCs w:val="18"/>
              </w:rPr>
              <w:br/>
              <w:t>MAGTRAINING_</w:t>
            </w:r>
            <w:r>
              <w:rPr>
                <w:sz w:val="18"/>
                <w:szCs w:val="18"/>
              </w:rPr>
              <w:br/>
              <w:t>CAPPED</w:t>
            </w:r>
          </w:p>
        </w:tc>
        <w:tc>
          <w:tcPr>
            <w:tcW w:w="1595" w:type="dxa"/>
            <w:vAlign w:val="center"/>
          </w:tcPr>
          <w:p w14:paraId="1440328E" w14:textId="052D570B" w:rsidR="00E00828" w:rsidRPr="0080611B" w:rsidRDefault="00E00828" w:rsidP="001E76CD">
            <w:pPr>
              <w:jc w:val="center"/>
              <w:rPr>
                <w:sz w:val="18"/>
                <w:szCs w:val="18"/>
              </w:rPr>
            </w:pPr>
            <w:r>
              <w:rPr>
                <w:sz w:val="18"/>
                <w:szCs w:val="18"/>
              </w:rPr>
              <w:t>01_STAR_ACQ_</w:t>
            </w:r>
            <w:r>
              <w:rPr>
                <w:sz w:val="18"/>
                <w:szCs w:val="18"/>
              </w:rPr>
              <w:br/>
              <w:t>FR1_30s_CAPPED_</w:t>
            </w:r>
            <w:r>
              <w:rPr>
                <w:sz w:val="18"/>
                <w:szCs w:val="18"/>
              </w:rPr>
              <w:br/>
              <w:t>LEFT/RIGHT</w:t>
            </w:r>
          </w:p>
        </w:tc>
        <w:tc>
          <w:tcPr>
            <w:tcW w:w="1595" w:type="dxa"/>
            <w:vAlign w:val="center"/>
          </w:tcPr>
          <w:p w14:paraId="7DE03AA3" w14:textId="0C064302" w:rsidR="00E00828" w:rsidRPr="0080611B" w:rsidRDefault="00E00828" w:rsidP="001E76CD">
            <w:pPr>
              <w:jc w:val="center"/>
              <w:rPr>
                <w:sz w:val="18"/>
                <w:szCs w:val="18"/>
              </w:rPr>
            </w:pPr>
            <w:r>
              <w:rPr>
                <w:sz w:val="18"/>
                <w:szCs w:val="18"/>
              </w:rPr>
              <w:t>02_STAR_ACQ_</w:t>
            </w:r>
            <w:r>
              <w:rPr>
                <w:sz w:val="18"/>
                <w:szCs w:val="18"/>
              </w:rPr>
              <w:br/>
              <w:t>FR1_10s_CAPPED_</w:t>
            </w:r>
            <w:r>
              <w:rPr>
                <w:sz w:val="18"/>
                <w:szCs w:val="18"/>
              </w:rPr>
              <w:br/>
              <w:t>LEFT/RIGHT</w:t>
            </w:r>
          </w:p>
        </w:tc>
        <w:tc>
          <w:tcPr>
            <w:tcW w:w="1701" w:type="dxa"/>
            <w:vAlign w:val="center"/>
          </w:tcPr>
          <w:p w14:paraId="1E36833E" w14:textId="3263839E" w:rsidR="00E00828" w:rsidRPr="0080611B" w:rsidRDefault="00E00828" w:rsidP="001E76CD">
            <w:pPr>
              <w:jc w:val="center"/>
              <w:rPr>
                <w:sz w:val="18"/>
                <w:szCs w:val="18"/>
              </w:rPr>
            </w:pPr>
            <w:r>
              <w:rPr>
                <w:sz w:val="18"/>
                <w:szCs w:val="18"/>
              </w:rPr>
              <w:t>03_STAR_ACQ_</w:t>
            </w:r>
            <w:r>
              <w:rPr>
                <w:sz w:val="18"/>
                <w:szCs w:val="18"/>
              </w:rPr>
              <w:br/>
              <w:t>FR5_10s_CAPPED_</w:t>
            </w:r>
            <w:r>
              <w:rPr>
                <w:sz w:val="18"/>
                <w:szCs w:val="18"/>
              </w:rPr>
              <w:br/>
              <w:t>LEFT/RIGHT</w:t>
            </w:r>
          </w:p>
        </w:tc>
        <w:tc>
          <w:tcPr>
            <w:tcW w:w="1987" w:type="dxa"/>
            <w:vAlign w:val="center"/>
          </w:tcPr>
          <w:p w14:paraId="2C559719" w14:textId="64084C30" w:rsidR="00E00828" w:rsidRPr="0080611B" w:rsidRDefault="00E00828" w:rsidP="001E76CD">
            <w:pPr>
              <w:jc w:val="center"/>
              <w:rPr>
                <w:sz w:val="18"/>
                <w:szCs w:val="18"/>
              </w:rPr>
            </w:pPr>
            <w:r>
              <w:rPr>
                <w:sz w:val="18"/>
                <w:szCs w:val="18"/>
              </w:rPr>
              <w:t>04_STAR_TASK_</w:t>
            </w:r>
            <w:r>
              <w:rPr>
                <w:sz w:val="18"/>
                <w:szCs w:val="18"/>
              </w:rPr>
              <w:br/>
              <w:t>FR10_10s_NOCAP_</w:t>
            </w:r>
            <w:r>
              <w:rPr>
                <w:sz w:val="18"/>
                <w:szCs w:val="18"/>
              </w:rPr>
              <w:br/>
              <w:t>LEFT/RIGHT</w:t>
            </w:r>
          </w:p>
        </w:tc>
      </w:tr>
    </w:tbl>
    <w:p w14:paraId="613E53A2" w14:textId="144D8761" w:rsidR="009E4A87" w:rsidRPr="009E4A87" w:rsidRDefault="009E4A87" w:rsidP="0080611B">
      <w:pPr>
        <w:pStyle w:val="Heading2"/>
        <w:jc w:val="center"/>
      </w:pPr>
      <w:r w:rsidRPr="0080611B">
        <w:br w:type="page"/>
      </w:r>
    </w:p>
    <w:p w14:paraId="2F1B5D0C" w14:textId="20C65DF1" w:rsidR="009E4A87" w:rsidRDefault="009E4A87" w:rsidP="009E4A87">
      <w:pPr>
        <w:pStyle w:val="Heading1"/>
      </w:pPr>
      <w:bookmarkStart w:id="14" w:name="_Toc77860051"/>
      <w:r>
        <w:lastRenderedPageBreak/>
        <w:t xml:space="preserve">Two-Bottle Choice </w:t>
      </w:r>
      <w:r w:rsidR="000F115C">
        <w:t xml:space="preserve">(2BC) </w:t>
      </w:r>
      <w:r>
        <w:t>Behavior SOP</w:t>
      </w:r>
      <w:bookmarkEnd w:id="14"/>
    </w:p>
    <w:p w14:paraId="47CD5E1D" w14:textId="0649BAC6" w:rsidR="00291887" w:rsidRDefault="00291887" w:rsidP="00291887">
      <w:pPr>
        <w:pStyle w:val="Heading2"/>
      </w:pPr>
      <w:bookmarkStart w:id="15" w:name="_Toc77860052"/>
      <w:r>
        <w:t>Overview</w:t>
      </w:r>
      <w:bookmarkEnd w:id="15"/>
    </w:p>
    <w:p w14:paraId="2CA066B0" w14:textId="6934B536" w:rsidR="00291887" w:rsidRPr="00291887" w:rsidRDefault="00F41B85" w:rsidP="00291887">
      <w:r>
        <w:t xml:space="preserve">2BC is run as the middle part of </w:t>
      </w:r>
      <w:r w:rsidR="00D8382F">
        <w:t>STAR</w:t>
      </w:r>
      <w:r>
        <w:t xml:space="preserve"> to allow animals to have intermittent access to alcohol and water for a few hours a day. By comparing how each animal drinks during the </w:t>
      </w:r>
      <w:r w:rsidR="00960F52">
        <w:t>Pre-</w:t>
      </w:r>
      <w:r>
        <w:t xml:space="preserve"> and </w:t>
      </w:r>
      <w:r w:rsidR="00960F52">
        <w:t>Post-</w:t>
      </w:r>
      <w:r>
        <w:t xml:space="preserve">binge operant experiments that are run, we can see how this middle period, in this case intermittent free ethanol access, changes animal’s behavior to alcohol being punished in the </w:t>
      </w:r>
      <w:r w:rsidR="00960F52">
        <w:t>Pre-</w:t>
      </w:r>
      <w:r>
        <w:t xml:space="preserve"> and </w:t>
      </w:r>
      <w:r w:rsidR="00960F52">
        <w:t>Post-</w:t>
      </w:r>
      <w:r>
        <w:t xml:space="preserve">tests. </w:t>
      </w:r>
    </w:p>
    <w:p w14:paraId="209033D9" w14:textId="77777777" w:rsidR="00291887" w:rsidRPr="00291887" w:rsidRDefault="00291887" w:rsidP="00291887">
      <w:pPr>
        <w:pStyle w:val="Heading2"/>
      </w:pPr>
      <w:bookmarkStart w:id="16" w:name="_Toc77860053"/>
      <w:r>
        <w:t>Step-by-Step Guide</w:t>
      </w:r>
      <w:bookmarkEnd w:id="16"/>
    </w:p>
    <w:p w14:paraId="5721D15D" w14:textId="66F55EC0" w:rsidR="009E4A87" w:rsidRDefault="000F115C" w:rsidP="000F115C">
      <w:pPr>
        <w:pStyle w:val="ListParagraph"/>
        <w:numPr>
          <w:ilvl w:val="0"/>
          <w:numId w:val="7"/>
        </w:numPr>
      </w:pPr>
      <w:r>
        <w:t xml:space="preserve">Set up </w:t>
      </w:r>
      <w:r w:rsidR="00021F62">
        <w:t>a cage for each animal who will be running this part of the experiment</w:t>
      </w:r>
    </w:p>
    <w:p w14:paraId="4769CC34" w14:textId="7FFE9202" w:rsidR="00E65B58" w:rsidRDefault="001A15EF" w:rsidP="00E65B58">
      <w:pPr>
        <w:pStyle w:val="ListParagraph"/>
        <w:numPr>
          <w:ilvl w:val="1"/>
          <w:numId w:val="7"/>
        </w:numPr>
      </w:pPr>
      <w:r w:rsidRPr="005D3AE1">
        <w:rPr>
          <w:b/>
          <w:color w:val="538135" w:themeColor="accent6" w:themeShade="BF"/>
        </w:rPr>
        <w:t>Optional</w:t>
      </w:r>
      <w:r w:rsidR="002C76AC" w:rsidRPr="00CC23BE">
        <w:rPr>
          <w:b/>
        </w:rPr>
        <w:t>:</w:t>
      </w:r>
      <w:r w:rsidR="002C76AC">
        <w:rPr>
          <w:b/>
          <w:color w:val="538135" w:themeColor="accent6" w:themeShade="BF"/>
        </w:rPr>
        <w:t xml:space="preserve"> </w:t>
      </w:r>
      <w:r w:rsidR="00E65B58">
        <w:t>a control cage was also run to estimate the normal change in bottle weight due to dripping, evaporation, and other processes which might cause the bottles to change in weight over the course of a few hours</w:t>
      </w:r>
    </w:p>
    <w:p w14:paraId="40CBC48D" w14:textId="77777777" w:rsidR="000F115C" w:rsidRDefault="000F115C" w:rsidP="000F115C">
      <w:pPr>
        <w:pStyle w:val="ListParagraph"/>
        <w:numPr>
          <w:ilvl w:val="0"/>
          <w:numId w:val="7"/>
        </w:numPr>
      </w:pPr>
      <w:r>
        <w:t>Place animals in individual cage to acclimate to environment while bottles are being prepared</w:t>
      </w:r>
    </w:p>
    <w:p w14:paraId="64403102" w14:textId="77777777" w:rsidR="00FE3454" w:rsidRDefault="00FE3454" w:rsidP="00FE3454">
      <w:pPr>
        <w:pStyle w:val="ListParagraph"/>
        <w:numPr>
          <w:ilvl w:val="1"/>
          <w:numId w:val="7"/>
        </w:numPr>
      </w:pPr>
      <w:r>
        <w:t>Animals in this phase will have 2BC access for 2 hours, 4 hours, (checking in 2 hours into e</w:t>
      </w:r>
      <w:r w:rsidR="00312400">
        <w:t>xperiment) or be in abstinence (4 days of 2-hour access, 1 day of 4-hour access, 2 days of abstinence; repeat cycle twice for a total of two weeks)</w:t>
      </w:r>
    </w:p>
    <w:p w14:paraId="0DA50720" w14:textId="77777777" w:rsidR="000F115C" w:rsidRDefault="000F115C" w:rsidP="000F115C">
      <w:pPr>
        <w:pStyle w:val="ListParagraph"/>
        <w:numPr>
          <w:ilvl w:val="1"/>
          <w:numId w:val="7"/>
        </w:numPr>
      </w:pPr>
      <w:r>
        <w:t xml:space="preserve">If animal is in abstinence for the day, leave them in their </w:t>
      </w:r>
      <w:proofErr w:type="spellStart"/>
      <w:r>
        <w:t>homecage</w:t>
      </w:r>
      <w:proofErr w:type="spellEnd"/>
    </w:p>
    <w:p w14:paraId="0F0F1199" w14:textId="77777777" w:rsidR="00FE3454" w:rsidRDefault="00FE3454" w:rsidP="00FE3454">
      <w:pPr>
        <w:pStyle w:val="ListParagraph"/>
        <w:numPr>
          <w:ilvl w:val="0"/>
          <w:numId w:val="7"/>
        </w:numPr>
      </w:pPr>
      <w:r>
        <w:t>Fill up bottles ~80% with solution and tightly secure the stopper</w:t>
      </w:r>
    </w:p>
    <w:p w14:paraId="5022CC2F" w14:textId="7E62CBD2" w:rsidR="00FE3454" w:rsidRDefault="005F60C5" w:rsidP="00FE3454">
      <w:pPr>
        <w:pStyle w:val="ListParagraph"/>
        <w:numPr>
          <w:ilvl w:val="1"/>
          <w:numId w:val="7"/>
        </w:numPr>
      </w:pPr>
      <w:r w:rsidRPr="005D3AE1">
        <w:rPr>
          <w:b/>
          <w:color w:val="FF9900"/>
        </w:rPr>
        <w:t>Important</w:t>
      </w:r>
      <w:r w:rsidR="002C76AC" w:rsidRPr="00CC23BE">
        <w:rPr>
          <w:b/>
        </w:rPr>
        <w:t>:</w:t>
      </w:r>
      <w:r w:rsidR="002C76AC">
        <w:rPr>
          <w:b/>
          <w:color w:val="538135" w:themeColor="accent6" w:themeShade="BF"/>
        </w:rPr>
        <w:t xml:space="preserve"> </w:t>
      </w:r>
      <w:r w:rsidR="00FE3454">
        <w:t xml:space="preserve">Turn tube ~45° downwards and using gloved hand, </w:t>
      </w:r>
      <w:r w:rsidR="000263AD">
        <w:t>tap</w:t>
      </w:r>
      <w:r w:rsidR="00FE3454">
        <w:t xml:space="preserve"> on ball bearing in spout – solution should come out, releasing bubbles into the </w:t>
      </w:r>
      <w:proofErr w:type="gramStart"/>
      <w:r w:rsidR="00FE3454">
        <w:t>tube</w:t>
      </w:r>
      <w:proofErr w:type="gramEnd"/>
      <w:r w:rsidR="00FE3454">
        <w:t xml:space="preserve"> and leaving solution on glove, showing it’s flowing. Should not drip freely at all</w:t>
      </w:r>
    </w:p>
    <w:p w14:paraId="62000A5A" w14:textId="0D4B2103" w:rsidR="00FE3454" w:rsidRDefault="005F60C5" w:rsidP="00FE3454">
      <w:pPr>
        <w:pStyle w:val="ListParagraph"/>
        <w:numPr>
          <w:ilvl w:val="0"/>
          <w:numId w:val="7"/>
        </w:numPr>
      </w:pPr>
      <w:r w:rsidRPr="005D3AE1">
        <w:rPr>
          <w:b/>
          <w:color w:val="FF0000"/>
        </w:rPr>
        <w:t>CRITICAL</w:t>
      </w:r>
      <w:r w:rsidR="002C76AC" w:rsidRPr="00CC23BE">
        <w:rPr>
          <w:b/>
        </w:rPr>
        <w:t>:</w:t>
      </w:r>
      <w:r w:rsidR="002C76AC">
        <w:rPr>
          <w:b/>
          <w:color w:val="538135" w:themeColor="accent6" w:themeShade="BF"/>
        </w:rPr>
        <w:t xml:space="preserve"> </w:t>
      </w:r>
      <w:r w:rsidR="00FE3454" w:rsidRPr="00074913">
        <w:rPr>
          <w:u w:val="single"/>
        </w:rPr>
        <w:t>Weigh</w:t>
      </w:r>
      <w:r w:rsidR="00FE3454">
        <w:t xml:space="preserve"> each pair of tubes and write down the weights before gently placing them on the cages</w:t>
      </w:r>
    </w:p>
    <w:p w14:paraId="369A1263" w14:textId="181D4AB2" w:rsidR="00FE3454" w:rsidRDefault="005F60C5" w:rsidP="00FE3454">
      <w:pPr>
        <w:pStyle w:val="ListParagraph"/>
        <w:numPr>
          <w:ilvl w:val="0"/>
          <w:numId w:val="7"/>
        </w:numPr>
      </w:pPr>
      <w:r w:rsidRPr="005D3AE1">
        <w:rPr>
          <w:b/>
          <w:color w:val="FF0000"/>
        </w:rPr>
        <w:t>CRITICAL</w:t>
      </w:r>
      <w:r w:rsidR="002C76AC" w:rsidRPr="00CC23BE">
        <w:rPr>
          <w:b/>
        </w:rPr>
        <w:t>:</w:t>
      </w:r>
      <w:r w:rsidR="002C76AC">
        <w:rPr>
          <w:b/>
          <w:color w:val="538135" w:themeColor="accent6" w:themeShade="BF"/>
        </w:rPr>
        <w:t xml:space="preserve"> </w:t>
      </w:r>
      <w:r w:rsidR="00074913">
        <w:t xml:space="preserve"> </w:t>
      </w:r>
      <w:r w:rsidR="00FE3454">
        <w:t xml:space="preserve">After 2 hours, remove and </w:t>
      </w:r>
      <w:r w:rsidR="00FE3454" w:rsidRPr="00074913">
        <w:rPr>
          <w:u w:val="single"/>
        </w:rPr>
        <w:t>weigh</w:t>
      </w:r>
      <w:r w:rsidR="00FE3454">
        <w:t xml:space="preserve"> all tubes</w:t>
      </w:r>
      <w:r w:rsidR="00DA42B6">
        <w:t xml:space="preserve">. Replace any back on cage if animal is running for 4 hours that day. After 4 hours, remove and </w:t>
      </w:r>
      <w:r w:rsidR="00DA42B6" w:rsidRPr="00074913">
        <w:rPr>
          <w:u w:val="single"/>
        </w:rPr>
        <w:t>reweigh</w:t>
      </w:r>
      <w:r w:rsidR="00DA42B6">
        <w:t xml:space="preserve"> those tubes as well.</w:t>
      </w:r>
    </w:p>
    <w:p w14:paraId="4FC024D3" w14:textId="0A04F892" w:rsidR="00DA42B6" w:rsidRDefault="00DA42B6" w:rsidP="00DA42B6">
      <w:pPr>
        <w:pStyle w:val="ListParagraph"/>
        <w:numPr>
          <w:ilvl w:val="1"/>
          <w:numId w:val="7"/>
        </w:numPr>
      </w:pPr>
      <w:r>
        <w:t xml:space="preserve">Once animal is done with </w:t>
      </w:r>
      <w:proofErr w:type="gramStart"/>
      <w:r>
        <w:t>2 hour</w:t>
      </w:r>
      <w:proofErr w:type="gramEnd"/>
      <w:r>
        <w:t xml:space="preserve"> access, </w:t>
      </w:r>
      <w:r w:rsidR="007B0402">
        <w:rPr>
          <w:u w:val="single"/>
        </w:rPr>
        <w:t>weigh</w:t>
      </w:r>
      <w:r w:rsidR="007B0402" w:rsidRPr="007B0402">
        <w:t xml:space="preserve"> </w:t>
      </w:r>
      <w:r w:rsidR="007B0402">
        <w:t xml:space="preserve">the animal and then </w:t>
      </w:r>
      <w:r w:rsidRPr="007B0402">
        <w:t>give</w:t>
      </w:r>
      <w:r>
        <w:t xml:space="preserve"> them a normal water bottle for the cage while the others finish up the 4 hour access period. All animals will be fed at the end of the day once returned to </w:t>
      </w:r>
      <w:proofErr w:type="spellStart"/>
      <w:r>
        <w:t>homecage</w:t>
      </w:r>
      <w:proofErr w:type="spellEnd"/>
    </w:p>
    <w:p w14:paraId="195189B9" w14:textId="77777777" w:rsidR="00DA42B6" w:rsidRDefault="00DA42B6" w:rsidP="00DA42B6">
      <w:pPr>
        <w:pStyle w:val="ListParagraph"/>
        <w:numPr>
          <w:ilvl w:val="1"/>
          <w:numId w:val="7"/>
        </w:numPr>
      </w:pPr>
      <w:r>
        <w:t>The volume of each solution consumed is inferred from the change in weight of the bottles between the beginning and end of the session</w:t>
      </w:r>
    </w:p>
    <w:p w14:paraId="681D343A" w14:textId="77777777" w:rsidR="002E10DD" w:rsidRPr="009E4A87" w:rsidRDefault="002E10DD" w:rsidP="002E10DD">
      <w:pPr>
        <w:pStyle w:val="ListParagraph"/>
        <w:numPr>
          <w:ilvl w:val="0"/>
          <w:numId w:val="7"/>
        </w:numPr>
      </w:pPr>
      <w:r>
        <w:t xml:space="preserve">Empty all tubes at end of day and triple rinse </w:t>
      </w:r>
      <w:r w:rsidR="00486FDD">
        <w:t xml:space="preserve">them and the rubber stoppers </w:t>
      </w:r>
      <w:r>
        <w:t>with water. Make sure tubes are labeled with the solution they contain</w:t>
      </w:r>
      <w:r w:rsidR="00486FDD">
        <w:t>ed so that</w:t>
      </w:r>
      <w:r>
        <w:t xml:space="preserve"> cross contamination is eliminated as much as possible</w:t>
      </w:r>
    </w:p>
    <w:sectPr w:rsidR="002E10DD" w:rsidRPr="009E4A8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B7AD9" w14:textId="77777777" w:rsidR="000C2491" w:rsidRDefault="000C2491" w:rsidP="00513672">
      <w:pPr>
        <w:spacing w:after="0" w:line="240" w:lineRule="auto"/>
      </w:pPr>
      <w:r>
        <w:separator/>
      </w:r>
    </w:p>
  </w:endnote>
  <w:endnote w:type="continuationSeparator" w:id="0">
    <w:p w14:paraId="59C993A6" w14:textId="77777777" w:rsidR="000C2491" w:rsidRDefault="000C2491" w:rsidP="00513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9B0B2" w14:textId="77777777" w:rsidR="00513672" w:rsidRDefault="005136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950866982"/>
      <w:docPartObj>
        <w:docPartGallery w:val="Page Numbers (Bottom of Page)"/>
        <w:docPartUnique/>
      </w:docPartObj>
    </w:sdtPr>
    <w:sdtEndPr>
      <w:rPr>
        <w:noProof/>
      </w:rPr>
    </w:sdtEndPr>
    <w:sdtContent>
      <w:p w14:paraId="37616CA3" w14:textId="01EFED5E" w:rsidR="00513672" w:rsidRPr="00513672" w:rsidRDefault="00513672">
        <w:pPr>
          <w:pStyle w:val="Footer"/>
          <w:jc w:val="center"/>
          <w:rPr>
            <w:sz w:val="18"/>
            <w:szCs w:val="18"/>
          </w:rPr>
        </w:pPr>
        <w:r w:rsidRPr="00513672">
          <w:rPr>
            <w:sz w:val="18"/>
            <w:szCs w:val="18"/>
          </w:rPr>
          <w:fldChar w:fldCharType="begin"/>
        </w:r>
        <w:r w:rsidRPr="00513672">
          <w:rPr>
            <w:sz w:val="18"/>
            <w:szCs w:val="18"/>
          </w:rPr>
          <w:instrText xml:space="preserve"> PAGE   \* MERGEFORMAT </w:instrText>
        </w:r>
        <w:r w:rsidRPr="00513672">
          <w:rPr>
            <w:sz w:val="18"/>
            <w:szCs w:val="18"/>
          </w:rPr>
          <w:fldChar w:fldCharType="separate"/>
        </w:r>
        <w:r w:rsidR="000C01F2">
          <w:rPr>
            <w:noProof/>
            <w:sz w:val="18"/>
            <w:szCs w:val="18"/>
          </w:rPr>
          <w:t>6</w:t>
        </w:r>
        <w:r w:rsidRPr="00513672">
          <w:rPr>
            <w:noProof/>
            <w:sz w:val="18"/>
            <w:szCs w:val="18"/>
          </w:rPr>
          <w:fldChar w:fldCharType="end"/>
        </w:r>
      </w:p>
    </w:sdtContent>
  </w:sdt>
  <w:p w14:paraId="171BD28E" w14:textId="77777777" w:rsidR="00513672" w:rsidRDefault="005136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E6B83" w14:textId="77777777" w:rsidR="00513672" w:rsidRDefault="005136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DB292" w14:textId="77777777" w:rsidR="000C2491" w:rsidRDefault="000C2491" w:rsidP="00513672">
      <w:pPr>
        <w:spacing w:after="0" w:line="240" w:lineRule="auto"/>
      </w:pPr>
      <w:r>
        <w:separator/>
      </w:r>
    </w:p>
  </w:footnote>
  <w:footnote w:type="continuationSeparator" w:id="0">
    <w:p w14:paraId="255B06CC" w14:textId="77777777" w:rsidR="000C2491" w:rsidRDefault="000C2491" w:rsidP="00513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6CEDA" w14:textId="77777777" w:rsidR="00513672" w:rsidRDefault="005136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DB203" w14:textId="77777777" w:rsidR="00513672" w:rsidRDefault="005136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2DD0D" w14:textId="77777777" w:rsidR="00513672" w:rsidRDefault="005136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3DF4"/>
    <w:multiLevelType w:val="hybridMultilevel"/>
    <w:tmpl w:val="E9946F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BA6850"/>
    <w:multiLevelType w:val="hybridMultilevel"/>
    <w:tmpl w:val="1040D53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9A00F2"/>
    <w:multiLevelType w:val="hybridMultilevel"/>
    <w:tmpl w:val="EE5A70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4029D"/>
    <w:multiLevelType w:val="hybridMultilevel"/>
    <w:tmpl w:val="D4648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C74D75"/>
    <w:multiLevelType w:val="hybridMultilevel"/>
    <w:tmpl w:val="6C50D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1207C4"/>
    <w:multiLevelType w:val="hybridMultilevel"/>
    <w:tmpl w:val="45B24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CA65B4"/>
    <w:multiLevelType w:val="hybridMultilevel"/>
    <w:tmpl w:val="DBBEB4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4E19CD"/>
    <w:multiLevelType w:val="hybridMultilevel"/>
    <w:tmpl w:val="426456BA"/>
    <w:lvl w:ilvl="0" w:tplc="70EA19C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283F81"/>
    <w:multiLevelType w:val="hybridMultilevel"/>
    <w:tmpl w:val="DA045A66"/>
    <w:lvl w:ilvl="0" w:tplc="04090003">
      <w:start w:val="1"/>
      <w:numFmt w:val="bullet"/>
      <w:lvlText w:val="o"/>
      <w:lvlJc w:val="left"/>
      <w:pPr>
        <w:ind w:left="770" w:hanging="360"/>
      </w:pPr>
      <w:rPr>
        <w:rFonts w:ascii="Courier New" w:hAnsi="Courier New" w:cs="Courier New"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639A5AD5"/>
    <w:multiLevelType w:val="hybridMultilevel"/>
    <w:tmpl w:val="A94077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9F1F05"/>
    <w:multiLevelType w:val="hybridMultilevel"/>
    <w:tmpl w:val="956861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9"/>
  </w:num>
  <w:num w:numId="5">
    <w:abstractNumId w:val="0"/>
  </w:num>
  <w:num w:numId="6">
    <w:abstractNumId w:val="6"/>
  </w:num>
  <w:num w:numId="7">
    <w:abstractNumId w:val="10"/>
  </w:num>
  <w:num w:numId="8">
    <w:abstractNumId w:val="7"/>
  </w:num>
  <w:num w:numId="9">
    <w:abstractNumId w:val="3"/>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A64"/>
    <w:rsid w:val="00021C30"/>
    <w:rsid w:val="00021F62"/>
    <w:rsid w:val="000263AD"/>
    <w:rsid w:val="0003152A"/>
    <w:rsid w:val="00042E32"/>
    <w:rsid w:val="000479AB"/>
    <w:rsid w:val="00053861"/>
    <w:rsid w:val="00062AB1"/>
    <w:rsid w:val="00074913"/>
    <w:rsid w:val="00084EA4"/>
    <w:rsid w:val="00087542"/>
    <w:rsid w:val="00092BCC"/>
    <w:rsid w:val="000C01F2"/>
    <w:rsid w:val="000C2491"/>
    <w:rsid w:val="000C6107"/>
    <w:rsid w:val="000C7B94"/>
    <w:rsid w:val="000F115C"/>
    <w:rsid w:val="001226F7"/>
    <w:rsid w:val="00126362"/>
    <w:rsid w:val="001A15EF"/>
    <w:rsid w:val="001C2FCE"/>
    <w:rsid w:val="001C3437"/>
    <w:rsid w:val="001D2D09"/>
    <w:rsid w:val="001D397C"/>
    <w:rsid w:val="001E76CD"/>
    <w:rsid w:val="001F2F45"/>
    <w:rsid w:val="00217125"/>
    <w:rsid w:val="00221714"/>
    <w:rsid w:val="00237D3F"/>
    <w:rsid w:val="0024085B"/>
    <w:rsid w:val="00244738"/>
    <w:rsid w:val="00246255"/>
    <w:rsid w:val="00250793"/>
    <w:rsid w:val="00253419"/>
    <w:rsid w:val="002655AB"/>
    <w:rsid w:val="00276F94"/>
    <w:rsid w:val="00291887"/>
    <w:rsid w:val="002C76AC"/>
    <w:rsid w:val="002E10DD"/>
    <w:rsid w:val="00300433"/>
    <w:rsid w:val="00312400"/>
    <w:rsid w:val="00312739"/>
    <w:rsid w:val="00313FE0"/>
    <w:rsid w:val="00330F12"/>
    <w:rsid w:val="003338D5"/>
    <w:rsid w:val="00341A44"/>
    <w:rsid w:val="003A1CE8"/>
    <w:rsid w:val="003D361C"/>
    <w:rsid w:val="003F0A64"/>
    <w:rsid w:val="003F73EE"/>
    <w:rsid w:val="004120E8"/>
    <w:rsid w:val="00451CB7"/>
    <w:rsid w:val="004646EF"/>
    <w:rsid w:val="00486FDD"/>
    <w:rsid w:val="004A3709"/>
    <w:rsid w:val="004B5AC8"/>
    <w:rsid w:val="004E6348"/>
    <w:rsid w:val="004F1CF8"/>
    <w:rsid w:val="00513672"/>
    <w:rsid w:val="00535BA8"/>
    <w:rsid w:val="00567381"/>
    <w:rsid w:val="0058579B"/>
    <w:rsid w:val="005A0EF9"/>
    <w:rsid w:val="005D3873"/>
    <w:rsid w:val="005D3AE1"/>
    <w:rsid w:val="005F1960"/>
    <w:rsid w:val="005F60C5"/>
    <w:rsid w:val="0061277D"/>
    <w:rsid w:val="0064098A"/>
    <w:rsid w:val="006458D0"/>
    <w:rsid w:val="0065772B"/>
    <w:rsid w:val="006B72E8"/>
    <w:rsid w:val="006F4A3B"/>
    <w:rsid w:val="007514C3"/>
    <w:rsid w:val="007646C8"/>
    <w:rsid w:val="007B0402"/>
    <w:rsid w:val="0080611B"/>
    <w:rsid w:val="00824A07"/>
    <w:rsid w:val="00825982"/>
    <w:rsid w:val="00843255"/>
    <w:rsid w:val="008561EA"/>
    <w:rsid w:val="0086460F"/>
    <w:rsid w:val="008723C0"/>
    <w:rsid w:val="00883810"/>
    <w:rsid w:val="008868E1"/>
    <w:rsid w:val="008B0FDD"/>
    <w:rsid w:val="008C4C58"/>
    <w:rsid w:val="008C55AC"/>
    <w:rsid w:val="008D599F"/>
    <w:rsid w:val="008E6232"/>
    <w:rsid w:val="00917EA7"/>
    <w:rsid w:val="009226B6"/>
    <w:rsid w:val="00923C45"/>
    <w:rsid w:val="00947B03"/>
    <w:rsid w:val="00960F52"/>
    <w:rsid w:val="0096220E"/>
    <w:rsid w:val="0096383E"/>
    <w:rsid w:val="0097741A"/>
    <w:rsid w:val="009B58EA"/>
    <w:rsid w:val="009C195C"/>
    <w:rsid w:val="009E02D9"/>
    <w:rsid w:val="009E4A87"/>
    <w:rsid w:val="009F3D53"/>
    <w:rsid w:val="00A24D4E"/>
    <w:rsid w:val="00A36789"/>
    <w:rsid w:val="00A652FB"/>
    <w:rsid w:val="00A66F9F"/>
    <w:rsid w:val="00A75398"/>
    <w:rsid w:val="00A90697"/>
    <w:rsid w:val="00AB10FF"/>
    <w:rsid w:val="00B5134B"/>
    <w:rsid w:val="00B51EC2"/>
    <w:rsid w:val="00B95FCE"/>
    <w:rsid w:val="00BA27D4"/>
    <w:rsid w:val="00BB4C4D"/>
    <w:rsid w:val="00BB6F96"/>
    <w:rsid w:val="00BB7F50"/>
    <w:rsid w:val="00BC4814"/>
    <w:rsid w:val="00C343D5"/>
    <w:rsid w:val="00C35757"/>
    <w:rsid w:val="00C5155B"/>
    <w:rsid w:val="00C52693"/>
    <w:rsid w:val="00C54929"/>
    <w:rsid w:val="00C607BD"/>
    <w:rsid w:val="00C91D4D"/>
    <w:rsid w:val="00C93D1F"/>
    <w:rsid w:val="00CA17B9"/>
    <w:rsid w:val="00CB5984"/>
    <w:rsid w:val="00CB7448"/>
    <w:rsid w:val="00CC23BE"/>
    <w:rsid w:val="00D01D5B"/>
    <w:rsid w:val="00D02978"/>
    <w:rsid w:val="00D420C8"/>
    <w:rsid w:val="00D43730"/>
    <w:rsid w:val="00D46556"/>
    <w:rsid w:val="00D73B1E"/>
    <w:rsid w:val="00D8382F"/>
    <w:rsid w:val="00D92C5A"/>
    <w:rsid w:val="00DA42B6"/>
    <w:rsid w:val="00DB272C"/>
    <w:rsid w:val="00E00828"/>
    <w:rsid w:val="00E1570C"/>
    <w:rsid w:val="00E24BD1"/>
    <w:rsid w:val="00E45385"/>
    <w:rsid w:val="00E65B58"/>
    <w:rsid w:val="00E8264F"/>
    <w:rsid w:val="00EA341A"/>
    <w:rsid w:val="00EA7D03"/>
    <w:rsid w:val="00EB11EA"/>
    <w:rsid w:val="00F07645"/>
    <w:rsid w:val="00F217BD"/>
    <w:rsid w:val="00F22FA5"/>
    <w:rsid w:val="00F35A8C"/>
    <w:rsid w:val="00F41B85"/>
    <w:rsid w:val="00F7033B"/>
    <w:rsid w:val="00F8324B"/>
    <w:rsid w:val="00F91825"/>
    <w:rsid w:val="00FB035A"/>
    <w:rsid w:val="00FB60AE"/>
    <w:rsid w:val="00FE3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6F16A"/>
  <w15:chartTrackingRefBased/>
  <w15:docId w15:val="{A76A03CA-8B7F-4511-8D8D-C46B4E3F4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46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17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A64"/>
    <w:pPr>
      <w:ind w:left="720"/>
      <w:contextualSpacing/>
    </w:pPr>
  </w:style>
  <w:style w:type="character" w:customStyle="1" w:styleId="Heading1Char">
    <w:name w:val="Heading 1 Char"/>
    <w:basedOn w:val="DefaultParagraphFont"/>
    <w:link w:val="Heading1"/>
    <w:uiPriority w:val="9"/>
    <w:rsid w:val="00B5134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513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34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6460F"/>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8561E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61EA"/>
    <w:rPr>
      <w:rFonts w:eastAsiaTheme="minorEastAsia"/>
      <w:color w:val="5A5A5A" w:themeColor="text1" w:themeTint="A5"/>
      <w:spacing w:val="15"/>
    </w:rPr>
  </w:style>
  <w:style w:type="character" w:styleId="Strong">
    <w:name w:val="Strong"/>
    <w:basedOn w:val="DefaultParagraphFont"/>
    <w:uiPriority w:val="22"/>
    <w:qFormat/>
    <w:rsid w:val="008561EA"/>
    <w:rPr>
      <w:b/>
      <w:bCs/>
    </w:rPr>
  </w:style>
  <w:style w:type="character" w:customStyle="1" w:styleId="Heading3Char">
    <w:name w:val="Heading 3 Char"/>
    <w:basedOn w:val="DefaultParagraphFont"/>
    <w:link w:val="Heading3"/>
    <w:uiPriority w:val="9"/>
    <w:rsid w:val="0022171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646EF"/>
    <w:rPr>
      <w:color w:val="0563C1" w:themeColor="hyperlink"/>
      <w:u w:val="single"/>
    </w:rPr>
  </w:style>
  <w:style w:type="character" w:styleId="FollowedHyperlink">
    <w:name w:val="FollowedHyperlink"/>
    <w:basedOn w:val="DefaultParagraphFont"/>
    <w:uiPriority w:val="99"/>
    <w:semiHidden/>
    <w:unhideWhenUsed/>
    <w:rsid w:val="004646EF"/>
    <w:rPr>
      <w:color w:val="954F72" w:themeColor="followedHyperlink"/>
      <w:u w:val="single"/>
    </w:rPr>
  </w:style>
  <w:style w:type="character" w:styleId="CommentReference">
    <w:name w:val="annotation reference"/>
    <w:basedOn w:val="DefaultParagraphFont"/>
    <w:uiPriority w:val="99"/>
    <w:semiHidden/>
    <w:unhideWhenUsed/>
    <w:rsid w:val="00A66F9F"/>
    <w:rPr>
      <w:sz w:val="16"/>
      <w:szCs w:val="16"/>
    </w:rPr>
  </w:style>
  <w:style w:type="paragraph" w:styleId="CommentText">
    <w:name w:val="annotation text"/>
    <w:basedOn w:val="Normal"/>
    <w:link w:val="CommentTextChar"/>
    <w:uiPriority w:val="99"/>
    <w:semiHidden/>
    <w:unhideWhenUsed/>
    <w:rsid w:val="00A66F9F"/>
    <w:pPr>
      <w:spacing w:line="240" w:lineRule="auto"/>
    </w:pPr>
    <w:rPr>
      <w:sz w:val="20"/>
      <w:szCs w:val="20"/>
    </w:rPr>
  </w:style>
  <w:style w:type="character" w:customStyle="1" w:styleId="CommentTextChar">
    <w:name w:val="Comment Text Char"/>
    <w:basedOn w:val="DefaultParagraphFont"/>
    <w:link w:val="CommentText"/>
    <w:uiPriority w:val="99"/>
    <w:semiHidden/>
    <w:rsid w:val="00A66F9F"/>
    <w:rPr>
      <w:sz w:val="20"/>
      <w:szCs w:val="20"/>
    </w:rPr>
  </w:style>
  <w:style w:type="paragraph" w:styleId="CommentSubject">
    <w:name w:val="annotation subject"/>
    <w:basedOn w:val="CommentText"/>
    <w:next w:val="CommentText"/>
    <w:link w:val="CommentSubjectChar"/>
    <w:uiPriority w:val="99"/>
    <w:semiHidden/>
    <w:unhideWhenUsed/>
    <w:rsid w:val="00A66F9F"/>
    <w:rPr>
      <w:b/>
      <w:bCs/>
    </w:rPr>
  </w:style>
  <w:style w:type="character" w:customStyle="1" w:styleId="CommentSubjectChar">
    <w:name w:val="Comment Subject Char"/>
    <w:basedOn w:val="CommentTextChar"/>
    <w:link w:val="CommentSubject"/>
    <w:uiPriority w:val="99"/>
    <w:semiHidden/>
    <w:rsid w:val="00A66F9F"/>
    <w:rPr>
      <w:b/>
      <w:bCs/>
      <w:sz w:val="20"/>
      <w:szCs w:val="20"/>
    </w:rPr>
  </w:style>
  <w:style w:type="paragraph" w:styleId="BalloonText">
    <w:name w:val="Balloon Text"/>
    <w:basedOn w:val="Normal"/>
    <w:link w:val="BalloonTextChar"/>
    <w:uiPriority w:val="99"/>
    <w:semiHidden/>
    <w:unhideWhenUsed/>
    <w:rsid w:val="00A66F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F9F"/>
    <w:rPr>
      <w:rFonts w:ascii="Segoe UI" w:hAnsi="Segoe UI" w:cs="Segoe UI"/>
      <w:sz w:val="18"/>
      <w:szCs w:val="18"/>
    </w:rPr>
  </w:style>
  <w:style w:type="paragraph" w:styleId="TOCHeading">
    <w:name w:val="TOC Heading"/>
    <w:basedOn w:val="Heading1"/>
    <w:next w:val="Normal"/>
    <w:uiPriority w:val="39"/>
    <w:unhideWhenUsed/>
    <w:qFormat/>
    <w:rsid w:val="001C3437"/>
    <w:pPr>
      <w:outlineLvl w:val="9"/>
    </w:pPr>
  </w:style>
  <w:style w:type="paragraph" w:styleId="TOC1">
    <w:name w:val="toc 1"/>
    <w:basedOn w:val="Normal"/>
    <w:next w:val="Normal"/>
    <w:autoRedefine/>
    <w:uiPriority w:val="39"/>
    <w:unhideWhenUsed/>
    <w:rsid w:val="001C3437"/>
    <w:pPr>
      <w:spacing w:after="100"/>
    </w:pPr>
  </w:style>
  <w:style w:type="paragraph" w:styleId="TOC2">
    <w:name w:val="toc 2"/>
    <w:basedOn w:val="Normal"/>
    <w:next w:val="Normal"/>
    <w:autoRedefine/>
    <w:uiPriority w:val="39"/>
    <w:unhideWhenUsed/>
    <w:rsid w:val="001C3437"/>
    <w:pPr>
      <w:spacing w:after="100"/>
      <w:ind w:left="220"/>
    </w:pPr>
  </w:style>
  <w:style w:type="paragraph" w:styleId="TOC3">
    <w:name w:val="toc 3"/>
    <w:basedOn w:val="Normal"/>
    <w:next w:val="Normal"/>
    <w:autoRedefine/>
    <w:uiPriority w:val="39"/>
    <w:unhideWhenUsed/>
    <w:rsid w:val="001C3437"/>
    <w:pPr>
      <w:spacing w:after="100"/>
      <w:ind w:left="440"/>
    </w:pPr>
    <w:rPr>
      <w:rFonts w:eastAsiaTheme="minorEastAsia" w:cs="Times New Roman"/>
    </w:rPr>
  </w:style>
  <w:style w:type="paragraph" w:styleId="Header">
    <w:name w:val="header"/>
    <w:basedOn w:val="Normal"/>
    <w:link w:val="HeaderChar"/>
    <w:uiPriority w:val="99"/>
    <w:unhideWhenUsed/>
    <w:rsid w:val="005136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672"/>
  </w:style>
  <w:style w:type="paragraph" w:styleId="Footer">
    <w:name w:val="footer"/>
    <w:basedOn w:val="Normal"/>
    <w:link w:val="FooterChar"/>
    <w:uiPriority w:val="99"/>
    <w:unhideWhenUsed/>
    <w:rsid w:val="005136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672"/>
  </w:style>
  <w:style w:type="table" w:styleId="TableGrid">
    <w:name w:val="Table Grid"/>
    <w:basedOn w:val="TableNormal"/>
    <w:uiPriority w:val="39"/>
    <w:rsid w:val="00806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061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TAR%20Timeline.pdf"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Lickometer%20Filling%20and%20Testing%20SOP.doc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Lickometer%20Filling%20and%20Testing%20SOP.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abproinc.com/blogs/chemicals-and-solvents/what-are-the-differences-between-denatured-and-non-denatured-ethano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086AD-0FF3-4823-8F97-33EA52E35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7</Pages>
  <Words>2435</Words>
  <Characters>13880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Brown</dc:creator>
  <cp:keywords/>
  <dc:description/>
  <cp:lastModifiedBy>Alex Brown</cp:lastModifiedBy>
  <cp:revision>30</cp:revision>
  <cp:lastPrinted>2021-07-26T15:56:00Z</cp:lastPrinted>
  <dcterms:created xsi:type="dcterms:W3CDTF">2021-11-04T17:51:00Z</dcterms:created>
  <dcterms:modified xsi:type="dcterms:W3CDTF">2021-11-30T00:16:00Z</dcterms:modified>
</cp:coreProperties>
</file>