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Calibri" w:cs="Calibri" w:eastAsia="Calibri" w:hAnsi="Calibri"/>
          <w:b/>
          <w:bCs/>
          <w:color w:val="0076CE"/>
          <w:spacing w:val="40"/>
          <w:sz w:val="22"/>
          <w:szCs w:val="22"/>
        </w:rPr>
        <w:t xml:space="preserve">FEASIBILITY STUDY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1F33"/>
          <w:sz w:val="44"/>
          <w:szCs w:val="44"/>
        </w:rPr>
        <w:t xml:space="preserve">Running the PowerScale Admin Assistant on the cluster</w:t>
      </w:r>
    </w:p>
    <w:p>
      <w:pPr>
        <w:spacing w:after="400" w:line="276"/>
      </w:pPr>
      <w:r>
        <w:rPr>
          <w:rFonts w:ascii="Calibri" w:cs="Calibri" w:eastAsia="Calibri" w:hAnsi="Calibri"/>
          <w:color w:val="5B6B7B"/>
          <w:sz w:val="26"/>
          <w:szCs w:val="26"/>
        </w:rPr>
        <w:t xml:space="preserve">From a constrained-CPU prototype to projected on-node performance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Question: </w:t>
      </w:r>
      <w:r>
        <w:rPr>
          <w:rFonts w:ascii="Calibri" w:cs="Calibri" w:eastAsia="Calibri" w:hAnsi="Calibri"/>
          <w:sz w:val="21"/>
          <w:szCs w:val="21"/>
        </w:rPr>
        <w:t xml:space="preserve">the prototype is slow on a CPU laptop. Would it be usable running on a real PowerScale node, which is also CPU-based?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76CE"/>
          <w:sz w:val="21"/>
          <w:szCs w:val="21"/>
        </w:rPr>
        <w:t xml:space="preserve">Answer: </w:t>
      </w:r>
      <w:r>
        <w:rPr>
          <w:rFonts w:ascii="Calibri" w:cs="Calibri" w:eastAsia="Calibri" w:hAnsi="Calibri"/>
          <w:sz w:val="21"/>
          <w:szCs w:val="21"/>
        </w:rPr>
        <w:t xml:space="preserve">yes — the laptop's latency is an artifact of consumer hardware; a PowerScale Xeon node is a different AI-compute class. This document measures the prototype baseline, projects the node, and gives a one-command test to confirm it on real hardware.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1F33"/>
          <w:sz w:val="28"/>
          <w:szCs w:val="28"/>
        </w:rPr>
        <w:t xml:space="preserve">1.  The prototype's CPU latency is a floor, not the ceiling</w:t>
      </w:r>
    </w:p>
    <w:p>
      <w:pPr>
        <w:spacing w:after="12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The prototype runs on a consumer laptop CPU with only AVX2 — the weakest AI-compute tier. Measured on that machine with the shipped 3B model on a realistic retrieval prompt (~2,200 prompt + ~300 answer tokens):</w:t>
      </w:r>
    </w:p>
    <w:tbl>
      <w:tblPr>
        <w:tblW w:type="dxa" w:w="9360"/>
        <w:tblBorders>
          <w:top w:val="single" w:color="C9D5E2" w:sz="4"/>
          <w:left w:val="single" w:color="C9D5E2" w:sz="4"/>
          <w:bottom w:val="single" w:color="C9D5E2" w:sz="4"/>
          <w:right w:val="single" w:color="C9D5E2" w:sz="4"/>
          <w:insideH w:val="single" w:color="C9D5E2" w:sz="4"/>
          <w:insideV w:val="single" w:color="C9D5E2" w:sz="4"/>
        </w:tblBorders>
      </w:tblPr>
      <w:tblGrid>
        <w:gridCol w:w="3400"/>
        <w:gridCol w:w="2560"/>
        <w:gridCol w:w="1200"/>
        <w:gridCol w:w="2200"/>
      </w:tblGrid>
      <w:tr>
        <w:trPr>
          <w:tblHeader/>
        </w:trPr>
        <w:tc>
          <w:tcPr>
            <w:tcW w:type="dxa" w:w="34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Prototype CPU</w:t>
            </w:r>
          </w:p>
        </w:tc>
        <w:tc>
          <w:tcPr>
            <w:tcW w:type="dxa" w:w="256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Instruction tier</w:t>
            </w:r>
          </w:p>
        </w:tc>
        <w:tc>
          <w:tcPr>
            <w:tcW w:type="dxa" w:w="12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Prefill</w:t>
            </w:r>
          </w:p>
        </w:tc>
        <w:tc>
          <w:tcPr>
            <w:tcW w:type="dxa" w:w="22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Answer (typical)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Intel Core i5-13450HX (laptop)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AVX2 only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~54 tok/s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~106 s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Thread count barely moved it (6 vs 14 threads ≈ identical): the laptop is memory-bandwidth-bound with two memory channels and only performance-core headroom. This is the slowest hardware the assistant will ever run 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point: </w:t>
      </w:r>
      <w:r>
        <w:rPr>
          <w:rFonts w:ascii="Calibri" w:cs="Calibri" w:eastAsia="Calibri" w:hAnsi="Calibri"/>
          <w:sz w:val="21"/>
          <w:szCs w:val="21"/>
        </w:rPr>
        <w:t xml:space="preserve">the number to judge feasibility on is not this one. A PowerScale node changes three things at once — instruction set, core count, and memory bandwidth.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1F33"/>
          <w:sz w:val="28"/>
          <w:szCs w:val="28"/>
        </w:rPr>
        <w:t xml:space="preserve">2.  A PowerScale node is a different compute class</w:t>
      </w:r>
    </w:p>
    <w:p>
      <w:pPr>
        <w:spacing w:after="12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PowerScale all-flash and hybrid nodes run Intel Xeon Scalable processors, which carry the AI-acceleration instructions the laptop lacks, across many more cores and memory channels.</w:t>
      </w:r>
    </w:p>
    <w:tbl>
      <w:tblPr>
        <w:tblW w:type="dxa" w:w="9360"/>
        <w:tblBorders>
          <w:top w:val="single" w:color="C9D5E2" w:sz="4"/>
          <w:left w:val="single" w:color="C9D5E2" w:sz="4"/>
          <w:bottom w:val="single" w:color="C9D5E2" w:sz="4"/>
          <w:right w:val="single" w:color="C9D5E2" w:sz="4"/>
          <w:insideH w:val="single" w:color="C9D5E2" w:sz="4"/>
          <w:insideV w:val="single" w:color="C9D5E2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Attribute</w:t>
            </w:r>
          </w:p>
        </w:tc>
        <w:tc>
          <w:tcPr>
            <w:tcW w:type="dxa" w:w="32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Prototype laptop</w:t>
            </w:r>
          </w:p>
        </w:tc>
        <w:tc>
          <w:tcPr>
            <w:tcW w:type="dxa" w:w="356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PowerScale node (Xeon Scalable)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AI instructions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AVX2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AVX-512 + VNNI (Ice Lake); AMX on newest gen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Cores (usable)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~6 effective</w:t>
            </w:r>
          </w:p>
        </w:tc>
        <w:tc>
          <w:tcPr>
            <w:tcW w:type="dxa" w:w="35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12 – 64 (e.g. F900 = dual 32-core)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Memory channels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8 per socket (much higher bandwidth)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RAM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tens of GB</w:t>
            </w:r>
          </w:p>
        </w:tc>
        <w:tc>
          <w:tcPr>
            <w:tcW w:type="dxa" w:w="35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hundreds of GB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GPU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none (all CPU) — same as prototype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VNNI accelerates the int8 quantized matrix math that dominates prefill; AMX (on Sapphire-Rapids-class nodes) is a dedicated matrix engine that pushes CPU inference toward GPU-class throughput. None of this is new work — it is the platform the assistant would already be running 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Implication for packaging: </w:t>
      </w:r>
      <w:r>
        <w:rPr>
          <w:rFonts w:ascii="Calibri" w:cs="Calibri" w:eastAsia="Calibri" w:hAnsi="Calibri"/>
          <w:sz w:val="21"/>
          <w:szCs w:val="21"/>
        </w:rPr>
        <w:t xml:space="preserve">the prototype pins an old AVX2 build of the runtime to avoid a crash on consumer chips. On a node, that pin is dropped — ship the AVX-512/AMX build matched to the node's generation.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1F33"/>
          <w:sz w:val="28"/>
          <w:szCs w:val="28"/>
        </w:rPr>
        <w:t xml:space="preserve">3.  Projected performance on the node</w:t>
      </w:r>
    </w:p>
    <w:p>
      <w:pPr>
        <w:spacing w:after="12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Scaling the measured prototype baseline by the instruction-set and core/bandwidth gains, under a conservative on-cluster thread cap (see §4). Ranges, not point estimates — to be replaced by the measured number from §5.</w:t>
      </w:r>
    </w:p>
    <w:tbl>
      <w:tblPr>
        <w:tblW w:type="dxa" w:w="9360"/>
        <w:tblBorders>
          <w:top w:val="single" w:color="C9D5E2" w:sz="4"/>
          <w:left w:val="single" w:color="C9D5E2" w:sz="4"/>
          <w:bottom w:val="single" w:color="C9D5E2" w:sz="4"/>
          <w:right w:val="single" w:color="C9D5E2" w:sz="4"/>
          <w:insideH w:val="single" w:color="C9D5E2" w:sz="4"/>
          <w:insideV w:val="single" w:color="C9D5E2" w:sz="4"/>
        </w:tblBorders>
      </w:tblPr>
      <w:tblGrid>
        <w:gridCol w:w="3200"/>
        <w:gridCol w:w="2960"/>
        <w:gridCol w:w="1600"/>
        <w:gridCol w:w="1600"/>
      </w:tblGrid>
      <w:tr>
        <w:trPr>
          <w:tblHeader/>
        </w:trPr>
        <w:tc>
          <w:tcPr>
            <w:tcW w:type="dxa" w:w="32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Node class</w:t>
            </w:r>
          </w:p>
        </w:tc>
        <w:tc>
          <w:tcPr>
            <w:tcW w:type="dxa" w:w="296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AI tier</w:t>
            </w:r>
          </w:p>
        </w:tc>
        <w:tc>
          <w:tcPr>
            <w:tcW w:type="dxa" w:w="16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Speed-up vs prototype</w:t>
            </w:r>
          </w:p>
        </w:tc>
        <w:tc>
          <w:tcPr>
            <w:tcW w:type="dxa" w:w="1600"/>
            <w:shd w:fill="E7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3"/>
                <w:sz w:val="19"/>
                <w:szCs w:val="19"/>
              </w:rPr>
              <w:t xml:space="preserve">Projected answer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F200 / F600 (Ice Lake)</w:t>
            </w:r>
          </w:p>
        </w:tc>
        <w:tc>
          <w:tcPr>
            <w:tcW w:type="dxa" w:w="2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AVX-512 + VNNI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~3–4×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~27–40 s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F900 (dual 32-core)</w:t>
            </w:r>
          </w:p>
        </w:tc>
        <w:tc>
          <w:tcPr>
            <w:tcW w:type="dxa" w:w="29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AVX-512 + VNNI</w:t>
            </w:r>
          </w:p>
        </w:tc>
        <w:tc>
          <w:tcPr>
            <w:tcW w:type="dxa" w:w="16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~4–6×</w:t>
            </w:r>
          </w:p>
        </w:tc>
        <w:tc>
          <w:tcPr>
            <w:tcW w:type="dxa" w:w="16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~18–27 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Sapphire-Rapids class</w:t>
            </w:r>
          </w:p>
        </w:tc>
        <w:tc>
          <w:tcPr>
            <w:tcW w:type="dxa" w:w="2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AVX-512 + AMX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~8–15×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0"/>
                <w:sz w:val="19"/>
                <w:szCs w:val="19"/>
              </w:rPr>
              <w:t xml:space="preserve">~7–14 s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Assumptions. </w:t>
      </w:r>
      <w:r>
        <w:rPr>
          <w:rFonts w:ascii="Calibri" w:cs="Calibri" w:eastAsia="Calibri" w:hAnsi="Calibri"/>
          <w:sz w:val="21"/>
          <w:szCs w:val="21"/>
        </w:rPr>
        <w:t xml:space="preserve">Baseline ~106 s (measured). VNNI ≈ 2–4× prefill over AVX2; AMX ≈ 5–10×; plus real core/bandwidth scaling beyond the laptop's plateau, capped by the governor in §4. Prefill dominates, so instruction set matters most. Streaming means first words appear well before the totals above.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76CE"/>
          <w:sz w:val="21"/>
          <w:szCs w:val="21"/>
        </w:rPr>
        <w:t xml:space="preserve">Read: </w:t>
      </w:r>
      <w:r>
        <w:rPr>
          <w:rFonts w:ascii="Calibri" w:cs="Calibri" w:eastAsia="Calibri" w:hAnsi="Calibri"/>
          <w:sz w:val="21"/>
          <w:szCs w:val="21"/>
        </w:rPr>
        <w:t xml:space="preserve">on current-gen nodes an answer lands in tens of seconds; on AMX-class nodes, in roughly ten. For a documentation assistant that saves a support case, that is usable.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1F33"/>
          <w:sz w:val="28"/>
          <w:szCs w:val="28"/>
        </w:rPr>
        <w:t xml:space="preserve">4.  Storage stays first — the governor bounds the projection</w:t>
      </w:r>
    </w:p>
    <w:p>
      <w:pPr>
        <w:spacing w:after="12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A node's cores are paid for by the customer to serve storage, not to run a chatbot. The assistant runs as a low-priority, thread-capped service so client I/O and cache always win. That cap is a deliberate trade: it gives up peak inference speed to protect the storage SLA.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1A2330"/>
          <w:sz w:val="21"/>
          <w:szCs w:val="21"/>
        </w:rPr>
        <w:t xml:space="preserve">The projections above assume a capped allocation (a slice of cores), not the whole node — so they are conservative; a dedicated box would be faster.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1A2330"/>
          <w:sz w:val="21"/>
          <w:szCs w:val="21"/>
        </w:rPr>
        <w:t xml:space="preserve">The assistant is bursty (it works only during a question), so its cap is idle most of the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1A2330"/>
          <w:sz w:val="21"/>
          <w:szCs w:val="21"/>
        </w:rPr>
        <w:t xml:space="preserve">N_THREADS in the prototype is the seed of this governor; on a node it is pinned to a fixed slice.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1F33"/>
          <w:sz w:val="28"/>
          <w:szCs w:val="28"/>
        </w:rPr>
        <w:t xml:space="preserve">5.  How we confirm it — one command on real hardware</w:t>
      </w:r>
    </w:p>
    <w:p>
      <w:pPr>
        <w:spacing w:after="12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Projections become a number by running the bundled bench on hardware that matches the node generation (a lab node, or an Ice-Lake / Sapphire-Rapids cloud VM):</w:t>
      </w:r>
    </w:p>
    <w:p>
      <w:pPr>
        <w:shd w:fill="F1F3F5" w:color="auto" w:val="clear"/>
        <w:spacing w:after="120"/>
      </w:pPr>
      <w:r>
        <w:rPr>
          <w:rFonts w:ascii="Consolas" w:cs="Consolas" w:eastAsia="Consolas" w:hAnsi="Consolas"/>
          <w:color w:val="1A2330"/>
          <w:sz w:val="20"/>
          <w:szCs w:val="20"/>
        </w:rPr>
        <w:t xml:space="preserve">python bench/feasibility_bench.py</w:t>
      </w:r>
    </w:p>
    <w:p>
      <w:pPr>
        <w:spacing w:after="120" w:line="276"/>
      </w:pPr>
      <w:r>
        <w:rPr>
          <w:rFonts w:ascii="Calibri" w:cs="Calibri" w:eastAsia="Calibri" w:hAnsi="Calibri"/>
          <w:color w:val="1A2330"/>
          <w:sz w:val="21"/>
          <w:szCs w:val="21"/>
        </w:rPr>
        <w:t xml:space="preserve">It detects the CPU's AI tier (AVX-512 / VNNI / AMX), times prefill and generation at several thread counts, and prints the projected answer latency — the same table as §3, measured. Acceptance gate before committing to on-node deployment: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2330"/>
          <w:sz w:val="21"/>
          <w:szCs w:val="21"/>
        </w:rPr>
        <w:t xml:space="preserve">Answer latency at the capped thread count meets the target for that node class (e.g. ≤ 15 s on F900-class).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2330"/>
          <w:sz w:val="21"/>
          <w:szCs w:val="21"/>
        </w:rPr>
        <w:t xml:space="preserve">With the assistant active under load, client I/O throughput and P99 latency stay within ~2% of baseline.</w:t>
      </w:r>
    </w:p>
    <w:p>
      <w:pPr>
        <w:spacing w:after="120" w:line="276"/>
      </w:pPr>
      <w:r>
        <w:rPr>
          <w:rFonts w:ascii="Calibri" w:cs="Calibri" w:eastAsia="Calibri" w:hAnsi="Calibri"/>
          <w:color w:val="5B6B7B"/>
          <w:sz w:val="21"/>
          <w:szCs w:val="21"/>
        </w:rPr>
        <w:t xml:space="preserve">If a class misses the gate, the fallback is the InsightIQ VM (off-node compute) — already the recommended first deployment.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1F33"/>
          <w:sz w:val="28"/>
          <w:szCs w:val="28"/>
        </w:rPr>
        <w:t xml:space="preserve">6.  Risks &amp; unknowns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1A2330"/>
          <w:sz w:val="21"/>
          <w:szCs w:val="21"/>
        </w:rPr>
        <w:t xml:space="preserve">Memory-bandwidth ceiling — past a point, more threads stop helping; the bench measures where that is per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1A2330"/>
          <w:sz w:val="21"/>
          <w:szCs w:val="21"/>
        </w:rPr>
        <w:t xml:space="preserve">Contention with storage services under peak load; the governor mitigates but must be validated at P99.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1A2330"/>
          <w:sz w:val="21"/>
          <w:szCs w:val="21"/>
        </w:rPr>
        <w:t xml:space="preserve">Node-generation variance — older archive (A-series) nodes are a weaker tier; feature them only where the node clears the gate.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1A2330"/>
          <w:sz w:val="21"/>
          <w:szCs w:val="21"/>
        </w:rPr>
        <w:t xml:space="preserve">Answer quality is fixed to the 3B model; a larger model would be higher quality but slower — a separate trade to test on-node where RAM is ample.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1F33"/>
          <w:sz w:val="28"/>
          <w:szCs w:val="28"/>
        </w:rPr>
        <w:t xml:space="preserve">7.  Recommendation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76CE"/>
          <w:sz w:val="21"/>
          <w:szCs w:val="21"/>
        </w:rPr>
        <w:t xml:space="preserve">Feasible, pending one measurement. </w:t>
      </w:r>
      <w:r>
        <w:rPr>
          <w:rFonts w:ascii="Calibri" w:cs="Calibri" w:eastAsia="Calibri" w:hAnsi="Calibri"/>
          <w:sz w:val="21"/>
          <w:szCs w:val="21"/>
        </w:rPr>
        <w:t xml:space="preserve">The prototype proves the software; the node provides the missing compute. Validate on a matching Xeon VM with the bench, ship the AVX-512/AMX runtime build for the node's generation (not the prototype's AVX2 pin), and keep the InsightIQ-VM path as the low-risk first step while on-node clears its gate.</w:t>
      </w:r>
    </w:p>
    <w:p>
      <w:pPr>
        <w:pBdr>
          <w:bottom w:val="single" w:color="0076CE" w:sz="6" w:space="2"/>
        </w:pBd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B7B"/>
          <w:sz w:val="17"/>
          <w:szCs w:val="17"/>
        </w:rPr>
        <w:t xml:space="preserve">Projections are engineering estimates pending the on-node bench in §5. Prototype baseline measured on an Intel i5-13450HX (AVX2), 3B model, ~2,200+300-token prompt.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color w:val="1A23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2026-07-16T04:03:53.103Z</dcterms:created>
  <dcterms:modified xsi:type="dcterms:W3CDTF">2026-07-16T04:03:53.109Z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