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FA52A" w14:textId="77777777" w:rsidR="00D52B83" w:rsidRDefault="00D52B83">
      <w:pPr>
        <w:spacing w:before="60" w:after="60"/>
      </w:pPr>
    </w:p>
    <w:p w14:paraId="61E0490C" w14:textId="77777777" w:rsidR="00D52B83" w:rsidRDefault="00D52B83">
      <w:pPr>
        <w:spacing w:before="60" w:after="60"/>
      </w:pPr>
    </w:p>
    <w:p w14:paraId="745F36E2" w14:textId="77777777" w:rsidR="00D52B83" w:rsidRDefault="00D52B83">
      <w:pPr>
        <w:spacing w:before="60" w:after="60"/>
      </w:pPr>
    </w:p>
    <w:p w14:paraId="03C98107" w14:textId="77777777" w:rsidR="00D52B83" w:rsidRDefault="00000000">
      <w:pPr>
        <w:spacing w:before="480" w:after="120"/>
        <w:jc w:val="center"/>
      </w:pPr>
      <w:r>
        <w:rPr>
          <w:b/>
          <w:bCs/>
          <w:color w:val="1F3864"/>
          <w:sz w:val="56"/>
          <w:szCs w:val="56"/>
        </w:rPr>
        <w:t>IBM Telco Customer Churn</w:t>
      </w:r>
    </w:p>
    <w:p w14:paraId="6467A602" w14:textId="77777777" w:rsidR="00D52B83" w:rsidRDefault="00000000">
      <w:pPr>
        <w:spacing w:before="80" w:after="80"/>
        <w:jc w:val="center"/>
      </w:pPr>
      <w:r>
        <w:rPr>
          <w:color w:val="2E5596"/>
          <w:sz w:val="36"/>
          <w:szCs w:val="36"/>
        </w:rPr>
        <w:t>Supervised Machine Learning Classification</w:t>
      </w:r>
    </w:p>
    <w:p w14:paraId="77588AF7" w14:textId="77777777" w:rsidR="00D52B83" w:rsidRDefault="00000000">
      <w:pPr>
        <w:spacing w:before="60" w:after="80"/>
        <w:jc w:val="center"/>
      </w:pPr>
      <w:r>
        <w:rPr>
          <w:i/>
          <w:iCs/>
          <w:color w:val="2E5596"/>
          <w:sz w:val="32"/>
          <w:szCs w:val="32"/>
        </w:rPr>
        <w:t>End-to-End Predictive Analytics Report</w:t>
      </w:r>
    </w:p>
    <w:p w14:paraId="1AD829AF" w14:textId="77777777" w:rsidR="00D52B83" w:rsidRDefault="00D52B83">
      <w:pPr>
        <w:spacing w:before="60" w:after="60"/>
      </w:pPr>
    </w:p>
    <w:p w14:paraId="71C3CD1A" w14:textId="77777777" w:rsidR="00D52B83" w:rsidRDefault="00D52B83">
      <w:pPr>
        <w:spacing w:before="60" w:after="60"/>
      </w:pPr>
    </w:p>
    <w:p w14:paraId="7FA056ED" w14:textId="77777777" w:rsidR="00D52B83" w:rsidRDefault="00000000">
      <w:pPr>
        <w:spacing w:before="80" w:after="40"/>
        <w:jc w:val="center"/>
      </w:pPr>
      <w:r>
        <w:rPr>
          <w:color w:val="555555"/>
        </w:rPr>
        <w:t>Prepared for: Chief Data Officer / Head of Analytics</w:t>
      </w:r>
    </w:p>
    <w:p w14:paraId="4533C54C" w14:textId="77777777" w:rsidR="00D52B83" w:rsidRDefault="00000000">
      <w:pPr>
        <w:spacing w:before="40" w:after="40"/>
        <w:jc w:val="center"/>
      </w:pPr>
      <w:r>
        <w:rPr>
          <w:color w:val="555555"/>
        </w:rPr>
        <w:t>Classification Course — IBM/Coursera Final Project</w:t>
      </w:r>
    </w:p>
    <w:p w14:paraId="6E24D08B" w14:textId="77777777" w:rsidR="00D52B83" w:rsidRDefault="00000000">
      <w:pPr>
        <w:spacing w:before="40" w:after="40"/>
        <w:jc w:val="center"/>
      </w:pPr>
      <w:r>
        <w:rPr>
          <w:color w:val="555555"/>
        </w:rPr>
        <w:t>June 2026</w:t>
      </w:r>
    </w:p>
    <w:p w14:paraId="15615FD5" w14:textId="77777777" w:rsidR="00D52B83" w:rsidRDefault="00000000">
      <w:r>
        <w:br w:type="page"/>
      </w:r>
    </w:p>
    <w:p w14:paraId="53A62141" w14:textId="77777777" w:rsidR="00D52B83" w:rsidRDefault="00000000">
      <w:pPr>
        <w:pStyle w:val="Heading1"/>
        <w:pBdr>
          <w:bottom w:val="single" w:sz="6" w:space="1" w:color="2E5596"/>
        </w:pBdr>
      </w:pPr>
      <w:r>
        <w:lastRenderedPageBreak/>
        <w:t>1. Executive Summary</w:t>
      </w:r>
    </w:p>
    <w:p w14:paraId="59F9FF8E" w14:textId="77777777" w:rsidR="00AC5C09" w:rsidRPr="00AC5C09" w:rsidRDefault="00AC5C09" w:rsidP="00AC5C09">
      <w:pPr>
        <w:spacing w:before="60" w:after="60"/>
        <w:rPr>
          <w:color w:val="000000"/>
        </w:rPr>
      </w:pPr>
      <w:r w:rsidRPr="00AC5C09">
        <w:rPr>
          <w:color w:val="000000"/>
        </w:rPr>
        <w:t>This report contains a supervised machine learning classification prediction project to learn customer churn on Telco Customer Churn dataset from IBM. One of the biggest sources of revenue in the telecom industry is customer churn — the percentage of customers who cancel service — with an acquired customer costing the firm five to seven times more than a retained customer.</w:t>
      </w:r>
    </w:p>
    <w:p w14:paraId="66CDD2E2" w14:textId="77777777" w:rsidR="00AC5C09" w:rsidRPr="00AC5C09" w:rsidRDefault="00AC5C09" w:rsidP="00AC5C09">
      <w:pPr>
        <w:spacing w:before="60" w:after="60"/>
        <w:rPr>
          <w:color w:val="000000"/>
        </w:rPr>
      </w:pPr>
    </w:p>
    <w:p w14:paraId="01202250" w14:textId="77777777" w:rsidR="00AC5C09" w:rsidRPr="00AC5C09" w:rsidRDefault="00AC5C09" w:rsidP="00AC5C09">
      <w:pPr>
        <w:spacing w:before="60" w:after="60"/>
        <w:rPr>
          <w:color w:val="000000"/>
        </w:rPr>
      </w:pPr>
      <w:r w:rsidRPr="00AC5C09">
        <w:rPr>
          <w:color w:val="000000"/>
        </w:rPr>
        <w:t xml:space="preserve">The study included 7,043 customer records with 20 variables under analysis: demographics, types of customer accounts and services. The six machine learning models were trained and evaluated: Logistic Regression, Decision Tree, Random Forest, Support Vector Machine (SVM), Gradient Boosting and </w:t>
      </w:r>
      <w:proofErr w:type="spellStart"/>
      <w:r w:rsidRPr="00AC5C09">
        <w:rPr>
          <w:color w:val="000000"/>
        </w:rPr>
        <w:t>XGBoost</w:t>
      </w:r>
      <w:proofErr w:type="spellEnd"/>
      <w:r w:rsidRPr="00AC5C09">
        <w:rPr>
          <w:color w:val="000000"/>
        </w:rPr>
        <w:t>. The accuracy, precision, recall, F1 score and AUC-ROC were all used to evaluate all models.</w:t>
      </w:r>
    </w:p>
    <w:p w14:paraId="48D1145B" w14:textId="77777777" w:rsidR="00AC5C09" w:rsidRPr="00AC5C09" w:rsidRDefault="00AC5C09" w:rsidP="00AC5C09">
      <w:pPr>
        <w:spacing w:before="60" w:after="60"/>
        <w:rPr>
          <w:color w:val="000000"/>
        </w:rPr>
      </w:pPr>
    </w:p>
    <w:p w14:paraId="1806B0DE" w14:textId="77777777" w:rsidR="00AC5C09" w:rsidRPr="00AC5C09" w:rsidRDefault="00AC5C09" w:rsidP="00AC5C09">
      <w:pPr>
        <w:spacing w:before="60" w:after="60"/>
        <w:rPr>
          <w:color w:val="000000"/>
        </w:rPr>
      </w:pPr>
      <w:r w:rsidRPr="00AC5C09">
        <w:rPr>
          <w:color w:val="000000"/>
        </w:rPr>
        <w:t xml:space="preserve">Among all models, </w:t>
      </w:r>
      <w:proofErr w:type="spellStart"/>
      <w:r w:rsidRPr="00AC5C09">
        <w:rPr>
          <w:color w:val="000000"/>
        </w:rPr>
        <w:t>XGBoost</w:t>
      </w:r>
      <w:proofErr w:type="spellEnd"/>
      <w:r w:rsidRPr="00AC5C09">
        <w:rPr>
          <w:color w:val="000000"/>
        </w:rPr>
        <w:t xml:space="preserve"> had the highest accuracy of 82.1%, F1 score of 64.4% and AUC-ROC of 0.871 when applied to the held-out test data. The key findings include that contract type, tenure with the customer, internet service type and monthly charges are the most significant churn factors. These learnings offer a clear and actionable framework for retention strategy: by identifying customers who need to be contacted at a month level; those that have short tenures, high monthly costs; and potentially targeting them with our proactive outreach and incentive programmes, we could have a significant impact on our churn rate and protect our monthly recurring revenue.</w:t>
      </w:r>
    </w:p>
    <w:p w14:paraId="53BBF05E" w14:textId="77777777" w:rsidR="00AC5C09" w:rsidRPr="00AC5C09" w:rsidRDefault="00AC5C09" w:rsidP="00AC5C09">
      <w:pPr>
        <w:spacing w:before="60" w:after="60"/>
        <w:rPr>
          <w:color w:val="000000"/>
        </w:rPr>
      </w:pPr>
    </w:p>
    <w:p w14:paraId="3D52A8C6" w14:textId="6C011712" w:rsidR="00D52B83" w:rsidRDefault="00AC5C09" w:rsidP="00AC5C09">
      <w:pPr>
        <w:spacing w:before="60" w:after="60"/>
      </w:pPr>
      <w:r w:rsidRPr="00AC5C09">
        <w:rPr>
          <w:color w:val="000000"/>
        </w:rPr>
        <w:t>The model is suggested for direct deployment as a real-time engine for assessing churn, whereupon the Customer Success team can impact negative events from occurring before they take place.</w:t>
      </w:r>
    </w:p>
    <w:p w14:paraId="272180CF" w14:textId="77777777" w:rsidR="00D52B83" w:rsidRDefault="00000000">
      <w:pPr>
        <w:pStyle w:val="Heading1"/>
        <w:pBdr>
          <w:bottom w:val="single" w:sz="6" w:space="1" w:color="2E5596"/>
        </w:pBdr>
      </w:pPr>
      <w:r>
        <w:t>2. Dataset Description</w:t>
      </w:r>
    </w:p>
    <w:p w14:paraId="4B57469C" w14:textId="77777777" w:rsidR="00D52B83" w:rsidRDefault="00000000">
      <w:pPr>
        <w:pStyle w:val="Heading2"/>
      </w:pPr>
      <w:r>
        <w:t>2.1 Dataset Source and Size</w:t>
      </w:r>
    </w:p>
    <w:p w14:paraId="6E3CBE76" w14:textId="77777777" w:rsidR="00D52B83" w:rsidRDefault="00000000">
      <w:pPr>
        <w:spacing w:before="80" w:after="80"/>
      </w:pPr>
      <w:r>
        <w:rPr>
          <w:color w:val="000000"/>
        </w:rPr>
        <w:t>The dataset used in this project is the IBM Telco Customer Churn dataset, publicly available on the IBM Watson Analytics community platform and Kaggle. It is a widely-used benchmark dataset for binary classification tasks in the telecommunications domain. The dataset contains:</w:t>
      </w:r>
    </w:p>
    <w:p w14:paraId="2B63B55F" w14:textId="77777777" w:rsidR="00D52B83" w:rsidRDefault="00000000">
      <w:pPr>
        <w:pStyle w:val="ListParagraph"/>
        <w:numPr>
          <w:ilvl w:val="0"/>
          <w:numId w:val="2"/>
        </w:numPr>
        <w:spacing w:before="40" w:after="40"/>
      </w:pPr>
      <w:r>
        <w:t>7,043 customer records (rows)</w:t>
      </w:r>
    </w:p>
    <w:p w14:paraId="2B31C4C5" w14:textId="77777777" w:rsidR="00D52B83" w:rsidRDefault="00000000">
      <w:pPr>
        <w:pStyle w:val="ListParagraph"/>
        <w:numPr>
          <w:ilvl w:val="0"/>
          <w:numId w:val="2"/>
        </w:numPr>
        <w:spacing w:before="40" w:after="40"/>
      </w:pPr>
      <w:r>
        <w:t>21 columns, including 20 feature variables and 1 binary target variable (Churn)</w:t>
      </w:r>
    </w:p>
    <w:p w14:paraId="2F568971" w14:textId="77777777" w:rsidR="00D52B83" w:rsidRDefault="00000000">
      <w:pPr>
        <w:pStyle w:val="ListParagraph"/>
        <w:numPr>
          <w:ilvl w:val="0"/>
          <w:numId w:val="2"/>
        </w:numPr>
        <w:spacing w:before="40" w:after="40"/>
      </w:pPr>
      <w:r>
        <w:t>Mixed data types: 3 numeric features and 17 categorical features</w:t>
      </w:r>
    </w:p>
    <w:p w14:paraId="25E37FA8" w14:textId="77777777" w:rsidR="00D52B83" w:rsidRDefault="00000000">
      <w:pPr>
        <w:pStyle w:val="ListParagraph"/>
        <w:numPr>
          <w:ilvl w:val="0"/>
          <w:numId w:val="2"/>
        </w:numPr>
        <w:spacing w:before="40" w:after="40"/>
      </w:pPr>
      <w:r>
        <w:t>Time period: Snapshot data representing customer status at a single point in time</w:t>
      </w:r>
    </w:p>
    <w:p w14:paraId="23A50E13" w14:textId="77777777" w:rsidR="00D52B83" w:rsidRDefault="00D52B83">
      <w:pPr>
        <w:spacing w:before="60" w:after="60"/>
      </w:pPr>
    </w:p>
    <w:p w14:paraId="0E19B1AB" w14:textId="77777777" w:rsidR="00D52B83" w:rsidRDefault="00000000">
      <w:pPr>
        <w:pStyle w:val="Heading2"/>
      </w:pPr>
      <w:r>
        <w:t>2.2 Feature Dictionary</w:t>
      </w:r>
    </w:p>
    <w:p w14:paraId="0AC19A88" w14:textId="77777777" w:rsidR="00D52B83" w:rsidRDefault="00000000">
      <w:pPr>
        <w:spacing w:before="80" w:after="80"/>
      </w:pPr>
      <w:r>
        <w:rPr>
          <w:color w:val="000000"/>
        </w:rPr>
        <w:t>The table below documents all 21 variables, their data types, and their relevance to the classification problem:</w:t>
      </w:r>
    </w:p>
    <w:p w14:paraId="405209BB" w14:textId="77777777" w:rsidR="00D52B83" w:rsidRDefault="00D52B8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D52B83" w14:paraId="1D30D33B" w14:textId="77777777">
        <w:tblPrEx>
          <w:tblCellMar>
            <w:top w:w="0" w:type="dxa"/>
            <w:bottom w:w="0" w:type="dxa"/>
          </w:tblCellMar>
        </w:tblPrEx>
        <w:trPr>
          <w:tblHeader/>
        </w:trPr>
        <w:tc>
          <w:tcPr>
            <w:tcW w:w="220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264C18DC" w14:textId="77777777" w:rsidR="00D52B83" w:rsidRDefault="00000000">
            <w:r>
              <w:rPr>
                <w:b/>
                <w:bCs/>
                <w:color w:val="1F3864"/>
                <w:sz w:val="20"/>
                <w:szCs w:val="20"/>
              </w:rPr>
              <w:lastRenderedPageBreak/>
              <w:t>Feature</w:t>
            </w:r>
          </w:p>
        </w:tc>
        <w:tc>
          <w:tcPr>
            <w:tcW w:w="160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5062862A" w14:textId="77777777" w:rsidR="00D52B83" w:rsidRDefault="00000000">
            <w:r>
              <w:rPr>
                <w:b/>
                <w:bCs/>
                <w:color w:val="1F3864"/>
                <w:sz w:val="20"/>
                <w:szCs w:val="20"/>
              </w:rPr>
              <w:t>Data Type</w:t>
            </w:r>
          </w:p>
        </w:tc>
        <w:tc>
          <w:tcPr>
            <w:tcW w:w="556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6EC1D5B7" w14:textId="77777777" w:rsidR="00D52B83" w:rsidRDefault="00000000">
            <w:r>
              <w:rPr>
                <w:b/>
                <w:bCs/>
                <w:color w:val="1F3864"/>
                <w:sz w:val="20"/>
                <w:szCs w:val="20"/>
              </w:rPr>
              <w:t>Description</w:t>
            </w:r>
          </w:p>
        </w:tc>
      </w:tr>
      <w:tr w:rsidR="00D52B83" w14:paraId="7B183513"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5243ABF" w14:textId="77777777" w:rsidR="00D52B83" w:rsidRDefault="00000000">
            <w:proofErr w:type="spellStart"/>
            <w:r>
              <w:rPr>
                <w:b/>
                <w:bCs/>
                <w:color w:val="000000"/>
                <w:sz w:val="20"/>
                <w:szCs w:val="20"/>
              </w:rPr>
              <w:t>customerID</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09EEBA0F" w14:textId="77777777" w:rsidR="00D52B83" w:rsidRDefault="00000000">
            <w:r>
              <w:rPr>
                <w:color w:val="000000"/>
                <w:sz w:val="20"/>
                <w:szCs w:val="20"/>
              </w:rPr>
              <w:t>String</w:t>
            </w:r>
          </w:p>
        </w:tc>
        <w:tc>
          <w:tcPr>
            <w:tcW w:w="5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266490EA" w14:textId="77777777" w:rsidR="00D52B83" w:rsidRDefault="00000000">
            <w:r>
              <w:rPr>
                <w:color w:val="000000"/>
                <w:sz w:val="20"/>
                <w:szCs w:val="20"/>
              </w:rPr>
              <w:t>Unique customer identifier (not used in modelling)</w:t>
            </w:r>
          </w:p>
        </w:tc>
      </w:tr>
      <w:tr w:rsidR="00D52B83" w14:paraId="6E4F4B55"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6AB91276" w14:textId="77777777" w:rsidR="00D52B83" w:rsidRDefault="00000000">
            <w:r>
              <w:rPr>
                <w:b/>
                <w:bCs/>
                <w:color w:val="000000"/>
                <w:sz w:val="20"/>
                <w:szCs w:val="20"/>
              </w:rPr>
              <w:t>gender</w:t>
            </w:r>
          </w:p>
        </w:tc>
        <w:tc>
          <w:tcPr>
            <w:tcW w:w="1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59061CBF"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5A89AA18" w14:textId="77777777" w:rsidR="00D52B83" w:rsidRDefault="00000000">
            <w:r>
              <w:rPr>
                <w:color w:val="000000"/>
                <w:sz w:val="20"/>
                <w:szCs w:val="20"/>
              </w:rPr>
              <w:t>Customer gender: Male / Female</w:t>
            </w:r>
          </w:p>
        </w:tc>
      </w:tr>
      <w:tr w:rsidR="00D52B83" w14:paraId="0A133446"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309FC4E" w14:textId="77777777" w:rsidR="00D52B83" w:rsidRDefault="00000000">
            <w:proofErr w:type="spellStart"/>
            <w:r>
              <w:rPr>
                <w:b/>
                <w:bCs/>
                <w:color w:val="000000"/>
                <w:sz w:val="20"/>
                <w:szCs w:val="20"/>
              </w:rPr>
              <w:t>SeniorCitizen</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61212310" w14:textId="77777777" w:rsidR="00D52B83" w:rsidRDefault="00000000">
            <w:r>
              <w:rPr>
                <w:color w:val="000000"/>
                <w:sz w:val="20"/>
                <w:szCs w:val="20"/>
              </w:rPr>
              <w:t>Binary</w:t>
            </w:r>
          </w:p>
        </w:tc>
        <w:tc>
          <w:tcPr>
            <w:tcW w:w="5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F4AF7DA" w14:textId="77777777" w:rsidR="00D52B83" w:rsidRDefault="00000000">
            <w:r>
              <w:rPr>
                <w:color w:val="000000"/>
                <w:sz w:val="20"/>
                <w:szCs w:val="20"/>
              </w:rPr>
              <w:t>Whether customer is a senior citizen (1 = Yes, 0 = No)</w:t>
            </w:r>
          </w:p>
        </w:tc>
      </w:tr>
      <w:tr w:rsidR="00D52B83" w14:paraId="65CB201C"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1DC91F3F" w14:textId="77777777" w:rsidR="00D52B83" w:rsidRDefault="00000000">
            <w:r>
              <w:rPr>
                <w:b/>
                <w:bCs/>
                <w:color w:val="000000"/>
                <w:sz w:val="20"/>
                <w:szCs w:val="20"/>
              </w:rPr>
              <w:t>Partner</w:t>
            </w:r>
          </w:p>
        </w:tc>
        <w:tc>
          <w:tcPr>
            <w:tcW w:w="1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47C0881B"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403253F1" w14:textId="77777777" w:rsidR="00D52B83" w:rsidRDefault="00000000">
            <w:r>
              <w:rPr>
                <w:color w:val="000000"/>
                <w:sz w:val="20"/>
                <w:szCs w:val="20"/>
              </w:rPr>
              <w:t>Whether customer has a partner (Yes / No)</w:t>
            </w:r>
          </w:p>
        </w:tc>
      </w:tr>
      <w:tr w:rsidR="00D52B83" w14:paraId="6B55B3D3"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3C9BD107" w14:textId="77777777" w:rsidR="00D52B83" w:rsidRDefault="00000000">
            <w:r>
              <w:rPr>
                <w:b/>
                <w:bCs/>
                <w:color w:val="000000"/>
                <w:sz w:val="20"/>
                <w:szCs w:val="20"/>
              </w:rPr>
              <w:t>Dependents</w:t>
            </w:r>
          </w:p>
        </w:tc>
        <w:tc>
          <w:tcPr>
            <w:tcW w:w="1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0AEC0E0"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0B2A2838" w14:textId="77777777" w:rsidR="00D52B83" w:rsidRDefault="00000000">
            <w:r>
              <w:rPr>
                <w:color w:val="000000"/>
                <w:sz w:val="20"/>
                <w:szCs w:val="20"/>
              </w:rPr>
              <w:t>Whether customer has dependents (Yes / No)</w:t>
            </w:r>
          </w:p>
        </w:tc>
      </w:tr>
      <w:tr w:rsidR="00D52B83" w14:paraId="1FD0508F"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51E08A6E" w14:textId="77777777" w:rsidR="00D52B83" w:rsidRDefault="00000000">
            <w:r>
              <w:rPr>
                <w:b/>
                <w:bCs/>
                <w:color w:val="000000"/>
                <w:sz w:val="20"/>
                <w:szCs w:val="20"/>
              </w:rPr>
              <w:t>tenure</w:t>
            </w:r>
          </w:p>
        </w:tc>
        <w:tc>
          <w:tcPr>
            <w:tcW w:w="1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2E2B83A4" w14:textId="77777777" w:rsidR="00D52B83" w:rsidRDefault="00000000">
            <w:r>
              <w:rPr>
                <w:color w:val="000000"/>
                <w:sz w:val="20"/>
                <w:szCs w:val="20"/>
              </w:rPr>
              <w:t>Numeric</w:t>
            </w:r>
          </w:p>
        </w:tc>
        <w:tc>
          <w:tcPr>
            <w:tcW w:w="5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5665F0B6" w14:textId="77777777" w:rsidR="00D52B83" w:rsidRDefault="00000000">
            <w:r>
              <w:rPr>
                <w:color w:val="000000"/>
                <w:sz w:val="20"/>
                <w:szCs w:val="20"/>
              </w:rPr>
              <w:t>Number of months the customer has been with the company</w:t>
            </w:r>
          </w:p>
        </w:tc>
      </w:tr>
      <w:tr w:rsidR="00D52B83" w14:paraId="0FB7E3AC"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15AF3AA5" w14:textId="77777777" w:rsidR="00D52B83" w:rsidRDefault="00000000">
            <w:proofErr w:type="spellStart"/>
            <w:r>
              <w:rPr>
                <w:b/>
                <w:bCs/>
                <w:color w:val="000000"/>
                <w:sz w:val="20"/>
                <w:szCs w:val="20"/>
              </w:rPr>
              <w:t>PhoneService</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E69845C"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3107B502" w14:textId="77777777" w:rsidR="00D52B83" w:rsidRDefault="00000000">
            <w:r>
              <w:rPr>
                <w:color w:val="000000"/>
                <w:sz w:val="20"/>
                <w:szCs w:val="20"/>
              </w:rPr>
              <w:t>Whether customer has phone service (Yes / No)</w:t>
            </w:r>
          </w:p>
        </w:tc>
      </w:tr>
      <w:tr w:rsidR="00D52B83" w14:paraId="6D97F3E3"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1CA5FE13" w14:textId="77777777" w:rsidR="00D52B83" w:rsidRDefault="00000000">
            <w:proofErr w:type="spellStart"/>
            <w:r>
              <w:rPr>
                <w:b/>
                <w:bCs/>
                <w:color w:val="000000"/>
                <w:sz w:val="20"/>
                <w:szCs w:val="20"/>
              </w:rPr>
              <w:t>MultipleLines</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2710E869"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4EB0BEE3" w14:textId="77777777" w:rsidR="00D52B83" w:rsidRDefault="00000000">
            <w:r>
              <w:rPr>
                <w:color w:val="000000"/>
                <w:sz w:val="20"/>
                <w:szCs w:val="20"/>
              </w:rPr>
              <w:t>Whether customer has multiple lines</w:t>
            </w:r>
          </w:p>
        </w:tc>
      </w:tr>
      <w:tr w:rsidR="00D52B83" w14:paraId="762FC4DA"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9743B1B" w14:textId="77777777" w:rsidR="00D52B83" w:rsidRDefault="00000000">
            <w:proofErr w:type="spellStart"/>
            <w:r>
              <w:rPr>
                <w:b/>
                <w:bCs/>
                <w:color w:val="000000"/>
                <w:sz w:val="20"/>
                <w:szCs w:val="20"/>
              </w:rPr>
              <w:t>InternetService</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B0C6D85"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26D28B1E" w14:textId="77777777" w:rsidR="00D52B83" w:rsidRDefault="00000000">
            <w:r>
              <w:rPr>
                <w:color w:val="000000"/>
                <w:sz w:val="20"/>
                <w:szCs w:val="20"/>
              </w:rPr>
              <w:t>Type of internet service: DSL / Fiber optic / No</w:t>
            </w:r>
          </w:p>
        </w:tc>
      </w:tr>
      <w:tr w:rsidR="00D52B83" w14:paraId="41894DCB"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219FDFED" w14:textId="77777777" w:rsidR="00D52B83" w:rsidRDefault="00000000">
            <w:proofErr w:type="spellStart"/>
            <w:r>
              <w:rPr>
                <w:b/>
                <w:bCs/>
                <w:color w:val="000000"/>
                <w:sz w:val="20"/>
                <w:szCs w:val="20"/>
              </w:rPr>
              <w:t>OnlineSecurity</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0D5E3CF9"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7355E6EF" w14:textId="77777777" w:rsidR="00D52B83" w:rsidRDefault="00000000">
            <w:r>
              <w:rPr>
                <w:color w:val="000000"/>
                <w:sz w:val="20"/>
                <w:szCs w:val="20"/>
              </w:rPr>
              <w:t>Whether customer has online security add-on</w:t>
            </w:r>
          </w:p>
        </w:tc>
      </w:tr>
      <w:tr w:rsidR="00D52B83" w14:paraId="01E185C0"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B7A3F09" w14:textId="77777777" w:rsidR="00D52B83" w:rsidRDefault="00000000">
            <w:proofErr w:type="spellStart"/>
            <w:r>
              <w:rPr>
                <w:b/>
                <w:bCs/>
                <w:color w:val="000000"/>
                <w:sz w:val="20"/>
                <w:szCs w:val="20"/>
              </w:rPr>
              <w:t>OnlineBackup</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2BD11164"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0E94E9FF" w14:textId="77777777" w:rsidR="00D52B83" w:rsidRDefault="00000000">
            <w:r>
              <w:rPr>
                <w:color w:val="000000"/>
                <w:sz w:val="20"/>
                <w:szCs w:val="20"/>
              </w:rPr>
              <w:t>Whether customer has online backup add-on</w:t>
            </w:r>
          </w:p>
        </w:tc>
      </w:tr>
      <w:tr w:rsidR="00D52B83" w14:paraId="5B181F8B"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43D4CD5F" w14:textId="77777777" w:rsidR="00D52B83" w:rsidRDefault="00000000">
            <w:proofErr w:type="spellStart"/>
            <w:r>
              <w:rPr>
                <w:b/>
                <w:bCs/>
                <w:color w:val="000000"/>
                <w:sz w:val="20"/>
                <w:szCs w:val="20"/>
              </w:rPr>
              <w:t>DeviceProtection</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55D79F50"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4C079CD3" w14:textId="77777777" w:rsidR="00D52B83" w:rsidRDefault="00000000">
            <w:r>
              <w:rPr>
                <w:color w:val="000000"/>
                <w:sz w:val="20"/>
                <w:szCs w:val="20"/>
              </w:rPr>
              <w:t>Whether customer has device protection add-on</w:t>
            </w:r>
          </w:p>
        </w:tc>
      </w:tr>
      <w:tr w:rsidR="00D52B83" w14:paraId="1F01455D"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77F0FFB" w14:textId="77777777" w:rsidR="00D52B83" w:rsidRDefault="00000000">
            <w:proofErr w:type="spellStart"/>
            <w:r>
              <w:rPr>
                <w:b/>
                <w:bCs/>
                <w:color w:val="000000"/>
                <w:sz w:val="20"/>
                <w:szCs w:val="20"/>
              </w:rPr>
              <w:t>TechSupport</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094ED04"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1C55B4AE" w14:textId="77777777" w:rsidR="00D52B83" w:rsidRDefault="00000000">
            <w:r>
              <w:rPr>
                <w:color w:val="000000"/>
                <w:sz w:val="20"/>
                <w:szCs w:val="20"/>
              </w:rPr>
              <w:t>Whether customer has tech support add-on</w:t>
            </w:r>
          </w:p>
        </w:tc>
      </w:tr>
      <w:tr w:rsidR="00D52B83" w14:paraId="4E2077BF"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0ECEC593" w14:textId="77777777" w:rsidR="00D52B83" w:rsidRDefault="00000000">
            <w:proofErr w:type="spellStart"/>
            <w:r>
              <w:rPr>
                <w:b/>
                <w:bCs/>
                <w:color w:val="000000"/>
                <w:sz w:val="20"/>
                <w:szCs w:val="20"/>
              </w:rPr>
              <w:t>StreamingTV</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2D7E4224"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5FBC1939" w14:textId="77777777" w:rsidR="00D52B83" w:rsidRDefault="00000000">
            <w:r>
              <w:rPr>
                <w:color w:val="000000"/>
                <w:sz w:val="20"/>
                <w:szCs w:val="20"/>
              </w:rPr>
              <w:t>Whether customer streams TV</w:t>
            </w:r>
          </w:p>
        </w:tc>
      </w:tr>
      <w:tr w:rsidR="00D52B83" w14:paraId="722AAD23"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E9EC4A2" w14:textId="77777777" w:rsidR="00D52B83" w:rsidRDefault="00000000">
            <w:proofErr w:type="spellStart"/>
            <w:r>
              <w:rPr>
                <w:b/>
                <w:bCs/>
                <w:color w:val="000000"/>
                <w:sz w:val="20"/>
                <w:szCs w:val="20"/>
              </w:rPr>
              <w:t>StreamingMovies</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3BEA6A6C"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2B017678" w14:textId="77777777" w:rsidR="00D52B83" w:rsidRDefault="00000000">
            <w:r>
              <w:rPr>
                <w:color w:val="000000"/>
                <w:sz w:val="20"/>
                <w:szCs w:val="20"/>
              </w:rPr>
              <w:t>Whether customer streams movies</w:t>
            </w:r>
          </w:p>
        </w:tc>
      </w:tr>
      <w:tr w:rsidR="00D52B83" w14:paraId="40889E1B"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6A4105DB" w14:textId="77777777" w:rsidR="00D52B83" w:rsidRDefault="00000000">
            <w:r>
              <w:rPr>
                <w:b/>
                <w:bCs/>
                <w:color w:val="000000"/>
                <w:sz w:val="20"/>
                <w:szCs w:val="20"/>
              </w:rPr>
              <w:t>Contract</w:t>
            </w:r>
          </w:p>
        </w:tc>
        <w:tc>
          <w:tcPr>
            <w:tcW w:w="1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5B8AA35C"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70A9E379" w14:textId="77777777" w:rsidR="00D52B83" w:rsidRDefault="00000000">
            <w:r>
              <w:rPr>
                <w:color w:val="000000"/>
                <w:sz w:val="20"/>
                <w:szCs w:val="20"/>
              </w:rPr>
              <w:t>Contract type: Month-to-month / One year / Two year</w:t>
            </w:r>
          </w:p>
        </w:tc>
      </w:tr>
      <w:tr w:rsidR="00D52B83" w14:paraId="0FDCAEBB"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5426431B" w14:textId="77777777" w:rsidR="00D52B83" w:rsidRDefault="00000000">
            <w:proofErr w:type="spellStart"/>
            <w:r>
              <w:rPr>
                <w:b/>
                <w:bCs/>
                <w:color w:val="000000"/>
                <w:sz w:val="20"/>
                <w:szCs w:val="20"/>
              </w:rPr>
              <w:t>PaperlessBilling</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5AE93FB8"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13E58AD" w14:textId="77777777" w:rsidR="00D52B83" w:rsidRDefault="00000000">
            <w:r>
              <w:rPr>
                <w:color w:val="000000"/>
                <w:sz w:val="20"/>
                <w:szCs w:val="20"/>
              </w:rPr>
              <w:t>Whether customer uses paperless billing (Yes / No)</w:t>
            </w:r>
          </w:p>
        </w:tc>
      </w:tr>
      <w:tr w:rsidR="00D52B83" w14:paraId="0E719ACB"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2027F328" w14:textId="77777777" w:rsidR="00D52B83" w:rsidRDefault="00000000">
            <w:proofErr w:type="spellStart"/>
            <w:r>
              <w:rPr>
                <w:b/>
                <w:bCs/>
                <w:color w:val="000000"/>
                <w:sz w:val="20"/>
                <w:szCs w:val="20"/>
              </w:rPr>
              <w:t>PaymentMethod</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37A81A5A" w14:textId="77777777" w:rsidR="00D52B83" w:rsidRDefault="00000000">
            <w:r>
              <w:rPr>
                <w:color w:val="000000"/>
                <w:sz w:val="20"/>
                <w:szCs w:val="20"/>
              </w:rPr>
              <w:t>Categorical</w:t>
            </w:r>
          </w:p>
        </w:tc>
        <w:tc>
          <w:tcPr>
            <w:tcW w:w="5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4707B9D9" w14:textId="77777777" w:rsidR="00D52B83" w:rsidRDefault="00000000">
            <w:r>
              <w:rPr>
                <w:color w:val="000000"/>
                <w:sz w:val="20"/>
                <w:szCs w:val="20"/>
              </w:rPr>
              <w:t>Payment method: Electronic check / Mailed check / Bank transfer / Credit card</w:t>
            </w:r>
          </w:p>
        </w:tc>
      </w:tr>
      <w:tr w:rsidR="00D52B83" w14:paraId="7EA7FE3F"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374C12DF" w14:textId="77777777" w:rsidR="00D52B83" w:rsidRDefault="00000000">
            <w:proofErr w:type="spellStart"/>
            <w:r>
              <w:rPr>
                <w:b/>
                <w:bCs/>
                <w:color w:val="000000"/>
                <w:sz w:val="20"/>
                <w:szCs w:val="20"/>
              </w:rPr>
              <w:t>MonthlyCharges</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C7CC688" w14:textId="77777777" w:rsidR="00D52B83" w:rsidRDefault="00000000">
            <w:r>
              <w:rPr>
                <w:color w:val="000000"/>
                <w:sz w:val="20"/>
                <w:szCs w:val="20"/>
              </w:rPr>
              <w:t>Numeric</w:t>
            </w:r>
          </w:p>
        </w:tc>
        <w:tc>
          <w:tcPr>
            <w:tcW w:w="5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59D94139" w14:textId="77777777" w:rsidR="00D52B83" w:rsidRDefault="00000000">
            <w:r>
              <w:rPr>
                <w:color w:val="000000"/>
                <w:sz w:val="20"/>
                <w:szCs w:val="20"/>
              </w:rPr>
              <w:t>Monthly amount billed to the customer (USD)</w:t>
            </w:r>
          </w:p>
        </w:tc>
      </w:tr>
      <w:tr w:rsidR="00D52B83" w14:paraId="7084B58A"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0DD1AF3A" w14:textId="77777777" w:rsidR="00D52B83" w:rsidRDefault="00000000">
            <w:proofErr w:type="spellStart"/>
            <w:r>
              <w:rPr>
                <w:b/>
                <w:bCs/>
                <w:color w:val="000000"/>
                <w:sz w:val="20"/>
                <w:szCs w:val="20"/>
              </w:rPr>
              <w:t>TotalCharges</w:t>
            </w:r>
            <w:proofErr w:type="spellEnd"/>
          </w:p>
        </w:tc>
        <w:tc>
          <w:tcPr>
            <w:tcW w:w="1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403BECC2" w14:textId="77777777" w:rsidR="00D52B83" w:rsidRDefault="00000000">
            <w:r>
              <w:rPr>
                <w:color w:val="000000"/>
                <w:sz w:val="20"/>
                <w:szCs w:val="20"/>
              </w:rPr>
              <w:t>Numeric</w:t>
            </w:r>
          </w:p>
        </w:tc>
        <w:tc>
          <w:tcPr>
            <w:tcW w:w="5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55F69A27" w14:textId="77777777" w:rsidR="00D52B83" w:rsidRDefault="00000000">
            <w:r>
              <w:rPr>
                <w:color w:val="000000"/>
                <w:sz w:val="20"/>
                <w:szCs w:val="20"/>
              </w:rPr>
              <w:t>Total amount billed to the customer (USD)</w:t>
            </w:r>
          </w:p>
        </w:tc>
      </w:tr>
      <w:tr w:rsidR="00D52B83" w14:paraId="1ADFDEAE" w14:textId="77777777">
        <w:tblPrEx>
          <w:tblCellMar>
            <w:top w:w="0" w:type="dxa"/>
            <w:bottom w:w="0" w:type="dxa"/>
          </w:tblCellMar>
        </w:tblPrEx>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2E355423" w14:textId="77777777" w:rsidR="00D52B83" w:rsidRDefault="00000000">
            <w:r>
              <w:rPr>
                <w:b/>
                <w:bCs/>
                <w:color w:val="000000"/>
                <w:sz w:val="20"/>
                <w:szCs w:val="20"/>
              </w:rPr>
              <w:t>Churn</w:t>
            </w:r>
          </w:p>
        </w:tc>
        <w:tc>
          <w:tcPr>
            <w:tcW w:w="1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EE996DC" w14:textId="77777777" w:rsidR="00D52B83" w:rsidRDefault="00000000">
            <w:r>
              <w:rPr>
                <w:color w:val="000000"/>
                <w:sz w:val="20"/>
                <w:szCs w:val="20"/>
              </w:rPr>
              <w:t>Binary (Target)</w:t>
            </w:r>
          </w:p>
        </w:tc>
        <w:tc>
          <w:tcPr>
            <w:tcW w:w="5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24D4F15" w14:textId="77777777" w:rsidR="00D52B83" w:rsidRDefault="00000000">
            <w:r>
              <w:rPr>
                <w:color w:val="000000"/>
                <w:sz w:val="20"/>
                <w:szCs w:val="20"/>
              </w:rPr>
              <w:t>Whether the customer churned: Yes / No</w:t>
            </w:r>
          </w:p>
        </w:tc>
      </w:tr>
    </w:tbl>
    <w:p w14:paraId="196E6B0A" w14:textId="77777777" w:rsidR="00D52B83" w:rsidRDefault="00D52B83">
      <w:pPr>
        <w:spacing w:before="60" w:after="60"/>
      </w:pPr>
    </w:p>
    <w:p w14:paraId="3C0D3074" w14:textId="77777777" w:rsidR="00D52B83" w:rsidRDefault="00000000">
      <w:pPr>
        <w:pStyle w:val="Heading2"/>
      </w:pPr>
      <w:r>
        <w:t>2.3 Target Variable</w:t>
      </w:r>
    </w:p>
    <w:p w14:paraId="6108B977" w14:textId="77777777" w:rsidR="00D52B83" w:rsidRDefault="00000000">
      <w:pPr>
        <w:spacing w:before="80" w:after="80"/>
      </w:pPr>
      <w:r>
        <w:rPr>
          <w:color w:val="000000"/>
        </w:rPr>
        <w:t>The target variable is Churn — a binary indicator denoting whether a customer discontinued their service ("Yes") or remained active ("No") within the observation period. This makes the problem a binary supervised classification task, where the goal is to learn a decision boundary that separates churners from non-churners based on the available feature set.</w:t>
      </w:r>
    </w:p>
    <w:p w14:paraId="26BFF694" w14:textId="77777777" w:rsidR="00D52B83" w:rsidRDefault="00D52B83">
      <w:pPr>
        <w:spacing w:before="60" w:after="60"/>
      </w:pPr>
    </w:p>
    <w:p w14:paraId="2D635845" w14:textId="77777777" w:rsidR="00D52B83" w:rsidRDefault="00000000">
      <w:pPr>
        <w:pStyle w:val="Heading2"/>
      </w:pPr>
      <w:r>
        <w:t>2.4 Dataset Relevance</w:t>
      </w:r>
    </w:p>
    <w:p w14:paraId="573E1400" w14:textId="77777777" w:rsidR="00D52B83" w:rsidRDefault="00000000">
      <w:pPr>
        <w:spacing w:before="80" w:after="80"/>
      </w:pPr>
      <w:r>
        <w:rPr>
          <w:color w:val="000000"/>
        </w:rPr>
        <w:t xml:space="preserve">Telecommunications is characterised by high customer acquisition costs, commoditised services, and intense competition, making churn prediction a high-priority business intelligence task. The IBM Telco dataset captures the most critical customer touchpoints — demographics, service </w:t>
      </w:r>
      <w:r>
        <w:rPr>
          <w:color w:val="000000"/>
        </w:rPr>
        <w:lastRenderedPageBreak/>
        <w:t>subscriptions, billing, and contract terms — providing a realistic proxy for production-grade CRM data. Its well-documented structure and moderate size make it ideal for demonstrating the full machine learning lifecycle from raw data to business-ready predictions.</w:t>
      </w:r>
    </w:p>
    <w:p w14:paraId="0392220A" w14:textId="77777777" w:rsidR="00D52B83" w:rsidRDefault="00000000">
      <w:r>
        <w:br w:type="page"/>
      </w:r>
    </w:p>
    <w:p w14:paraId="18308B8A" w14:textId="77777777" w:rsidR="00D52B83" w:rsidRDefault="00000000">
      <w:pPr>
        <w:pStyle w:val="Heading1"/>
        <w:pBdr>
          <w:bottom w:val="single" w:sz="6" w:space="1" w:color="2E5596"/>
        </w:pBdr>
      </w:pPr>
      <w:r>
        <w:lastRenderedPageBreak/>
        <w:t>3. Project Objective</w:t>
      </w:r>
    </w:p>
    <w:p w14:paraId="1965DF90" w14:textId="77777777" w:rsidR="00D52B83" w:rsidRDefault="00000000">
      <w:pPr>
        <w:pStyle w:val="Heading2"/>
      </w:pPr>
      <w:r>
        <w:t>3.1 Objective Statement</w:t>
      </w:r>
    </w:p>
    <w:p w14:paraId="743E5427" w14:textId="77777777" w:rsidR="00D52B83" w:rsidRDefault="00000000">
      <w:pPr>
        <w:spacing w:before="80" w:after="80"/>
      </w:pPr>
      <w:r>
        <w:rPr>
          <w:color w:val="000000"/>
        </w:rPr>
        <w:t>To develop, evaluate, and deploy a supervised binary classification model that accurately identifies customers at high risk of churning, enabling the business to implement targeted retention interventions before attrition occurs, thereby reducing revenue loss and improving customer lifetime value.</w:t>
      </w:r>
    </w:p>
    <w:p w14:paraId="162F48E4" w14:textId="77777777" w:rsidR="00D52B83" w:rsidRDefault="00D52B83">
      <w:pPr>
        <w:spacing w:before="60" w:after="60"/>
      </w:pPr>
    </w:p>
    <w:p w14:paraId="2F0C1BE2" w14:textId="77777777" w:rsidR="00D52B83" w:rsidRDefault="00000000">
      <w:pPr>
        <w:pStyle w:val="Heading2"/>
      </w:pPr>
      <w:r>
        <w:t>3.2 Business Problem</w:t>
      </w:r>
    </w:p>
    <w:p w14:paraId="202FAF78" w14:textId="77777777" w:rsidR="00AC5C09" w:rsidRPr="00AC5C09" w:rsidRDefault="00AC5C09" w:rsidP="00AC5C09">
      <w:pPr>
        <w:spacing w:before="60" w:after="60"/>
        <w:rPr>
          <w:color w:val="000000"/>
        </w:rPr>
      </w:pPr>
      <w:r w:rsidRPr="00AC5C09">
        <w:rPr>
          <w:color w:val="000000"/>
        </w:rPr>
        <w:t>The telecom company is at risk of substantial loss of revenues annually as customers leave of their own accord. Traditional reactive way of working — cancelling a customer's subscription when the customer asks to cancel — is inefficient and expensive. The business needs a forward-looking approach, tailored to the data used to spot at-risk customers ahead of time, and tailoring retention offers to personalise the customer experience to the right moment, depending on what stage the customer is at in their journey.</w:t>
      </w:r>
    </w:p>
    <w:p w14:paraId="606B4511" w14:textId="77777777" w:rsidR="00AC5C09" w:rsidRPr="00AC5C09" w:rsidRDefault="00AC5C09" w:rsidP="00AC5C09">
      <w:pPr>
        <w:spacing w:before="60" w:after="60"/>
        <w:rPr>
          <w:color w:val="000000"/>
        </w:rPr>
      </w:pPr>
    </w:p>
    <w:p w14:paraId="15640099" w14:textId="0E45790B" w:rsidR="00D52B83" w:rsidRDefault="00AC5C09" w:rsidP="00AC5C09">
      <w:pPr>
        <w:spacing w:before="60" w:after="60"/>
      </w:pPr>
      <w:r w:rsidRPr="00AC5C09">
        <w:rPr>
          <w:color w:val="000000"/>
        </w:rPr>
        <w:t xml:space="preserve">Assuming average monthly revenue per user (AMRU) USD 65 and 7,043 active subscribers, the churn rate is significant at 26.5% which suggests that about 1,866 of its customer base churned annually, in effect resulting in an </w:t>
      </w:r>
      <w:proofErr w:type="spellStart"/>
      <w:r w:rsidRPr="00AC5C09">
        <w:rPr>
          <w:color w:val="000000"/>
        </w:rPr>
        <w:t>ARPLn</w:t>
      </w:r>
      <w:proofErr w:type="spellEnd"/>
      <w:r w:rsidRPr="00AC5C09">
        <w:rPr>
          <w:color w:val="000000"/>
        </w:rPr>
        <w:t xml:space="preserve"> loss of USD 1.46 million per cohort. Even by reducing churn by 10% by implementing model driven interventions, that would make up for USD 146,000.00 per cycle.</w:t>
      </w:r>
    </w:p>
    <w:p w14:paraId="3877A208" w14:textId="77777777" w:rsidR="00D52B83" w:rsidRDefault="00000000">
      <w:pPr>
        <w:pStyle w:val="Heading2"/>
      </w:pPr>
      <w:r>
        <w:t>3.3 Prediction Being Made</w:t>
      </w:r>
    </w:p>
    <w:p w14:paraId="608FEC70" w14:textId="77777777" w:rsidR="00D52B83" w:rsidRDefault="00000000">
      <w:pPr>
        <w:spacing w:before="80" w:after="80"/>
      </w:pPr>
      <w:r>
        <w:rPr>
          <w:color w:val="000000"/>
        </w:rPr>
        <w:t>The model predicts a binary outcome for each customer: whether they will churn (Class 1 = "Yes") or remain (Class 0 = "No") within the current observation period. The output is both a class label and a probability score, the latter of which enables risk-ranked prioritisation of outreach queues for the Customer Success team.</w:t>
      </w:r>
    </w:p>
    <w:p w14:paraId="0C6E753C" w14:textId="77777777" w:rsidR="00D52B83" w:rsidRDefault="00D52B83">
      <w:pPr>
        <w:spacing w:before="60" w:after="60"/>
      </w:pPr>
    </w:p>
    <w:p w14:paraId="04942B88" w14:textId="77777777" w:rsidR="00D52B83" w:rsidRDefault="00000000">
      <w:pPr>
        <w:pStyle w:val="Heading1"/>
        <w:pBdr>
          <w:bottom w:val="single" w:sz="6" w:space="1" w:color="2E5596"/>
        </w:pBdr>
      </w:pPr>
      <w:r>
        <w:t>4. Exploratory Data Analysis (EDA)</w:t>
      </w:r>
    </w:p>
    <w:p w14:paraId="4356C4BE" w14:textId="77777777" w:rsidR="00D52B83" w:rsidRDefault="00000000">
      <w:pPr>
        <w:pStyle w:val="Heading2"/>
      </w:pPr>
      <w:r>
        <w:t>4.1 Dataset Structure and Data Types</w:t>
      </w:r>
    </w:p>
    <w:p w14:paraId="72C679AC" w14:textId="77777777" w:rsidR="00D52B83" w:rsidRDefault="00000000">
      <w:pPr>
        <w:spacing w:before="80" w:after="80"/>
      </w:pPr>
      <w:r>
        <w:rPr>
          <w:color w:val="000000"/>
        </w:rPr>
        <w:t xml:space="preserve">Initial inspection of the dataset revealed the following structural characteristics. The raw data contains 7,043 rows and 21 columns. Three columns — tenure, </w:t>
      </w:r>
      <w:proofErr w:type="spellStart"/>
      <w:r>
        <w:rPr>
          <w:color w:val="000000"/>
        </w:rPr>
        <w:t>MonthlyCharges</w:t>
      </w:r>
      <w:proofErr w:type="spellEnd"/>
      <w:r>
        <w:rPr>
          <w:color w:val="000000"/>
        </w:rPr>
        <w:t xml:space="preserve">, and </w:t>
      </w:r>
      <w:proofErr w:type="spellStart"/>
      <w:r>
        <w:rPr>
          <w:color w:val="000000"/>
        </w:rPr>
        <w:t>TotalCharges</w:t>
      </w:r>
      <w:proofErr w:type="spellEnd"/>
      <w:r>
        <w:rPr>
          <w:color w:val="000000"/>
        </w:rPr>
        <w:t xml:space="preserve"> — contain continuous numeric values. </w:t>
      </w:r>
      <w:proofErr w:type="spellStart"/>
      <w:r>
        <w:rPr>
          <w:color w:val="000000"/>
        </w:rPr>
        <w:t>SeniorCitizen</w:t>
      </w:r>
      <w:proofErr w:type="spellEnd"/>
      <w:r>
        <w:rPr>
          <w:color w:val="000000"/>
        </w:rPr>
        <w:t xml:space="preserve"> is encoded as a binary integer (0 or 1). The remaining 17 columns are categorical strings. The </w:t>
      </w:r>
      <w:proofErr w:type="spellStart"/>
      <w:r>
        <w:rPr>
          <w:color w:val="000000"/>
        </w:rPr>
        <w:t>customerID</w:t>
      </w:r>
      <w:proofErr w:type="spellEnd"/>
      <w:r>
        <w:rPr>
          <w:color w:val="000000"/>
        </w:rPr>
        <w:t xml:space="preserve"> column is a non-informative identifier and was excluded from all modelling steps.</w:t>
      </w:r>
    </w:p>
    <w:p w14:paraId="4336B4B8" w14:textId="77777777" w:rsidR="00D52B83" w:rsidRDefault="00D52B83">
      <w:pPr>
        <w:spacing w:before="60" w:after="60"/>
      </w:pPr>
    </w:p>
    <w:p w14:paraId="24BFCCCA" w14:textId="77777777" w:rsidR="00D52B83" w:rsidRDefault="00000000">
      <w:pPr>
        <w:spacing w:before="80" w:after="80"/>
      </w:pPr>
      <w:proofErr w:type="spellStart"/>
      <w:r>
        <w:rPr>
          <w:color w:val="000000"/>
        </w:rPr>
        <w:t>TotalCharges</w:t>
      </w:r>
      <w:proofErr w:type="spellEnd"/>
      <w:r>
        <w:rPr>
          <w:color w:val="000000"/>
        </w:rPr>
        <w:t>, while expected to be numeric, was imported as an object (string) type due to the presence of 11 blank string entries for customers with zero tenure. These were converted to float and imputed with the median value during preprocessing.</w:t>
      </w:r>
    </w:p>
    <w:p w14:paraId="6D2021F8" w14:textId="77777777" w:rsidR="00D52B83" w:rsidRDefault="00D52B83">
      <w:pPr>
        <w:spacing w:before="60" w:after="60"/>
      </w:pPr>
    </w:p>
    <w:p w14:paraId="04C416F7" w14:textId="77777777" w:rsidR="00D52B83" w:rsidRDefault="00000000">
      <w:pPr>
        <w:pStyle w:val="Heading2"/>
      </w:pPr>
      <w:r>
        <w:lastRenderedPageBreak/>
        <w:t>4.2 Missing Values, Duplicates, and Data Quality</w:t>
      </w:r>
    </w:p>
    <w:p w14:paraId="71B1BC8C" w14:textId="77777777" w:rsidR="00D52B83" w:rsidRDefault="00D52B8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2000"/>
        <w:gridCol w:w="2560"/>
      </w:tblGrid>
      <w:tr w:rsidR="00D52B83" w14:paraId="761F3FF9" w14:textId="77777777">
        <w:tblPrEx>
          <w:tblCellMar>
            <w:top w:w="0" w:type="dxa"/>
            <w:bottom w:w="0" w:type="dxa"/>
          </w:tblCellMar>
        </w:tblPrEx>
        <w:trPr>
          <w:tblHeader/>
        </w:trPr>
        <w:tc>
          <w:tcPr>
            <w:tcW w:w="300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4A9B3740" w14:textId="77777777" w:rsidR="00D52B83" w:rsidRDefault="00000000">
            <w:r>
              <w:rPr>
                <w:b/>
                <w:bCs/>
                <w:color w:val="1F3864"/>
                <w:sz w:val="20"/>
                <w:szCs w:val="20"/>
              </w:rPr>
              <w:t>Feature</w:t>
            </w:r>
          </w:p>
        </w:tc>
        <w:tc>
          <w:tcPr>
            <w:tcW w:w="180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3FA37DC6" w14:textId="77777777" w:rsidR="00D52B83" w:rsidRDefault="00000000">
            <w:r>
              <w:rPr>
                <w:b/>
                <w:bCs/>
                <w:color w:val="1F3864"/>
                <w:sz w:val="20"/>
                <w:szCs w:val="20"/>
              </w:rPr>
              <w:t>Missing Values</w:t>
            </w:r>
          </w:p>
        </w:tc>
        <w:tc>
          <w:tcPr>
            <w:tcW w:w="200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7E1CE181" w14:textId="77777777" w:rsidR="00D52B83" w:rsidRDefault="00000000">
            <w:r>
              <w:rPr>
                <w:b/>
                <w:bCs/>
                <w:color w:val="1F3864"/>
                <w:sz w:val="20"/>
                <w:szCs w:val="20"/>
              </w:rPr>
              <w:t>Unique Values</w:t>
            </w:r>
          </w:p>
        </w:tc>
        <w:tc>
          <w:tcPr>
            <w:tcW w:w="256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35040421" w14:textId="77777777" w:rsidR="00D52B83" w:rsidRDefault="00000000">
            <w:r>
              <w:rPr>
                <w:b/>
                <w:bCs/>
                <w:color w:val="1F3864"/>
                <w:sz w:val="20"/>
                <w:szCs w:val="20"/>
              </w:rPr>
              <w:t>Notes</w:t>
            </w:r>
          </w:p>
        </w:tc>
      </w:tr>
      <w:tr w:rsidR="00D52B83" w14:paraId="720E4215" w14:textId="77777777">
        <w:tblPrEx>
          <w:tblCellMar>
            <w:top w:w="0" w:type="dxa"/>
            <w:bottom w:w="0" w:type="dxa"/>
          </w:tblCellMar>
        </w:tblPrEx>
        <w:tc>
          <w:tcPr>
            <w:tcW w:w="30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27E6396E" w14:textId="77777777" w:rsidR="00D52B83" w:rsidRDefault="00000000">
            <w:r>
              <w:rPr>
                <w:b/>
                <w:bCs/>
                <w:color w:val="000000"/>
                <w:sz w:val="20"/>
                <w:szCs w:val="20"/>
              </w:rPr>
              <w:t>tenure</w:t>
            </w:r>
          </w:p>
        </w:tc>
        <w:tc>
          <w:tcPr>
            <w:tcW w:w="18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636021C" w14:textId="77777777" w:rsidR="00D52B83" w:rsidRDefault="00000000">
            <w:pPr>
              <w:jc w:val="center"/>
            </w:pPr>
            <w:r>
              <w:rPr>
                <w:color w:val="000000"/>
                <w:sz w:val="20"/>
                <w:szCs w:val="20"/>
              </w:rPr>
              <w:t>0</w:t>
            </w:r>
          </w:p>
        </w:tc>
        <w:tc>
          <w:tcPr>
            <w:tcW w:w="20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20FBBB26" w14:textId="77777777" w:rsidR="00D52B83" w:rsidRDefault="00000000">
            <w:pPr>
              <w:jc w:val="center"/>
            </w:pPr>
            <w:r>
              <w:rPr>
                <w:color w:val="000000"/>
                <w:sz w:val="20"/>
                <w:szCs w:val="20"/>
              </w:rPr>
              <w:t>72</w:t>
            </w:r>
          </w:p>
        </w:tc>
        <w:tc>
          <w:tcPr>
            <w:tcW w:w="2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4476583" w14:textId="77777777" w:rsidR="00D52B83" w:rsidRDefault="00000000">
            <w:r>
              <w:rPr>
                <w:color w:val="000000"/>
                <w:sz w:val="20"/>
                <w:szCs w:val="20"/>
              </w:rPr>
              <w:t>Range: 0–72 months</w:t>
            </w:r>
          </w:p>
        </w:tc>
      </w:tr>
      <w:tr w:rsidR="00D52B83" w14:paraId="3C9DB701" w14:textId="77777777">
        <w:tblPrEx>
          <w:tblCellMar>
            <w:top w:w="0" w:type="dxa"/>
            <w:bottom w:w="0" w:type="dxa"/>
          </w:tblCellMar>
        </w:tblPrEx>
        <w:tc>
          <w:tcPr>
            <w:tcW w:w="30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280A0442" w14:textId="77777777" w:rsidR="00D52B83" w:rsidRDefault="00000000">
            <w:proofErr w:type="spellStart"/>
            <w:r>
              <w:rPr>
                <w:b/>
                <w:bCs/>
                <w:color w:val="000000"/>
                <w:sz w:val="20"/>
                <w:szCs w:val="20"/>
              </w:rPr>
              <w:t>MonthlyCharges</w:t>
            </w:r>
            <w:proofErr w:type="spellEnd"/>
          </w:p>
        </w:tc>
        <w:tc>
          <w:tcPr>
            <w:tcW w:w="18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23522FB8" w14:textId="77777777" w:rsidR="00D52B83" w:rsidRDefault="00000000">
            <w:pPr>
              <w:jc w:val="center"/>
            </w:pPr>
            <w:r>
              <w:rPr>
                <w:color w:val="000000"/>
                <w:sz w:val="20"/>
                <w:szCs w:val="20"/>
              </w:rPr>
              <w:t>0</w:t>
            </w:r>
          </w:p>
        </w:tc>
        <w:tc>
          <w:tcPr>
            <w:tcW w:w="20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22FD7439" w14:textId="77777777" w:rsidR="00D52B83" w:rsidRDefault="00000000">
            <w:pPr>
              <w:jc w:val="center"/>
            </w:pPr>
            <w:r>
              <w:rPr>
                <w:color w:val="000000"/>
                <w:sz w:val="20"/>
                <w:szCs w:val="20"/>
              </w:rPr>
              <w:t>1,585</w:t>
            </w:r>
          </w:p>
        </w:tc>
        <w:tc>
          <w:tcPr>
            <w:tcW w:w="2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70606208" w14:textId="77777777" w:rsidR="00D52B83" w:rsidRDefault="00000000">
            <w:r>
              <w:rPr>
                <w:color w:val="000000"/>
                <w:sz w:val="20"/>
                <w:szCs w:val="20"/>
              </w:rPr>
              <w:t>Range: $18.25–$118.75</w:t>
            </w:r>
          </w:p>
        </w:tc>
      </w:tr>
      <w:tr w:rsidR="00D52B83" w14:paraId="75472E65" w14:textId="77777777">
        <w:tblPrEx>
          <w:tblCellMar>
            <w:top w:w="0" w:type="dxa"/>
            <w:bottom w:w="0" w:type="dxa"/>
          </w:tblCellMar>
        </w:tblPrEx>
        <w:tc>
          <w:tcPr>
            <w:tcW w:w="30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09828300" w14:textId="77777777" w:rsidR="00D52B83" w:rsidRDefault="00000000">
            <w:proofErr w:type="spellStart"/>
            <w:r>
              <w:rPr>
                <w:b/>
                <w:bCs/>
                <w:color w:val="000000"/>
                <w:sz w:val="20"/>
                <w:szCs w:val="20"/>
              </w:rPr>
              <w:t>TotalCharges</w:t>
            </w:r>
            <w:proofErr w:type="spellEnd"/>
          </w:p>
        </w:tc>
        <w:tc>
          <w:tcPr>
            <w:tcW w:w="18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6EE83E1C" w14:textId="77777777" w:rsidR="00D52B83" w:rsidRDefault="00000000">
            <w:pPr>
              <w:jc w:val="center"/>
            </w:pPr>
            <w:r>
              <w:rPr>
                <w:color w:val="000000"/>
                <w:sz w:val="20"/>
                <w:szCs w:val="20"/>
              </w:rPr>
              <w:t>11</w:t>
            </w:r>
          </w:p>
        </w:tc>
        <w:tc>
          <w:tcPr>
            <w:tcW w:w="20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5EA3B154" w14:textId="77777777" w:rsidR="00D52B83" w:rsidRDefault="00000000">
            <w:pPr>
              <w:jc w:val="center"/>
            </w:pPr>
            <w:r>
              <w:rPr>
                <w:color w:val="000000"/>
                <w:sz w:val="20"/>
                <w:szCs w:val="20"/>
              </w:rPr>
              <w:t>6,531</w:t>
            </w:r>
          </w:p>
        </w:tc>
        <w:tc>
          <w:tcPr>
            <w:tcW w:w="2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8D6D8C7" w14:textId="77777777" w:rsidR="00D52B83" w:rsidRDefault="00000000">
            <w:r>
              <w:rPr>
                <w:color w:val="000000"/>
                <w:sz w:val="20"/>
                <w:szCs w:val="20"/>
              </w:rPr>
              <w:t>11 blanks converted to numeric; imputed with median</w:t>
            </w:r>
          </w:p>
        </w:tc>
      </w:tr>
      <w:tr w:rsidR="00D52B83" w14:paraId="21E37EDE" w14:textId="77777777">
        <w:tblPrEx>
          <w:tblCellMar>
            <w:top w:w="0" w:type="dxa"/>
            <w:bottom w:w="0" w:type="dxa"/>
          </w:tblCellMar>
        </w:tblPrEx>
        <w:tc>
          <w:tcPr>
            <w:tcW w:w="30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46CBCC4E" w14:textId="77777777" w:rsidR="00D52B83" w:rsidRDefault="00000000">
            <w:r>
              <w:rPr>
                <w:b/>
                <w:bCs/>
                <w:color w:val="000000"/>
                <w:sz w:val="20"/>
                <w:szCs w:val="20"/>
              </w:rPr>
              <w:t>Contract</w:t>
            </w:r>
          </w:p>
        </w:tc>
        <w:tc>
          <w:tcPr>
            <w:tcW w:w="18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1369B0AB" w14:textId="77777777" w:rsidR="00D52B83" w:rsidRDefault="00000000">
            <w:pPr>
              <w:jc w:val="center"/>
            </w:pPr>
            <w:r>
              <w:rPr>
                <w:color w:val="000000"/>
                <w:sz w:val="20"/>
                <w:szCs w:val="20"/>
              </w:rPr>
              <w:t>0</w:t>
            </w:r>
          </w:p>
        </w:tc>
        <w:tc>
          <w:tcPr>
            <w:tcW w:w="20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58AB4BEA" w14:textId="77777777" w:rsidR="00D52B83" w:rsidRDefault="00000000">
            <w:pPr>
              <w:jc w:val="center"/>
            </w:pPr>
            <w:r>
              <w:rPr>
                <w:color w:val="000000"/>
                <w:sz w:val="20"/>
                <w:szCs w:val="20"/>
              </w:rPr>
              <w:t>3</w:t>
            </w:r>
          </w:p>
        </w:tc>
        <w:tc>
          <w:tcPr>
            <w:tcW w:w="2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3E8C27E6" w14:textId="77777777" w:rsidR="00D52B83" w:rsidRDefault="00000000">
            <w:r>
              <w:rPr>
                <w:color w:val="000000"/>
                <w:sz w:val="20"/>
                <w:szCs w:val="20"/>
              </w:rPr>
              <w:t>Month-to-month: 55%, One-year: 21%, Two-year: 24%</w:t>
            </w:r>
          </w:p>
        </w:tc>
      </w:tr>
      <w:tr w:rsidR="00D52B83" w14:paraId="5324EA6C" w14:textId="77777777">
        <w:tblPrEx>
          <w:tblCellMar>
            <w:top w:w="0" w:type="dxa"/>
            <w:bottom w:w="0" w:type="dxa"/>
          </w:tblCellMar>
        </w:tblPrEx>
        <w:tc>
          <w:tcPr>
            <w:tcW w:w="30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2F86DC19" w14:textId="77777777" w:rsidR="00D52B83" w:rsidRDefault="00000000">
            <w:proofErr w:type="spellStart"/>
            <w:r>
              <w:rPr>
                <w:b/>
                <w:bCs/>
                <w:color w:val="000000"/>
                <w:sz w:val="20"/>
                <w:szCs w:val="20"/>
              </w:rPr>
              <w:t>InternetService</w:t>
            </w:r>
            <w:proofErr w:type="spellEnd"/>
          </w:p>
        </w:tc>
        <w:tc>
          <w:tcPr>
            <w:tcW w:w="18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63B66F91" w14:textId="77777777" w:rsidR="00D52B83" w:rsidRDefault="00000000">
            <w:pPr>
              <w:jc w:val="center"/>
            </w:pPr>
            <w:r>
              <w:rPr>
                <w:color w:val="000000"/>
                <w:sz w:val="20"/>
                <w:szCs w:val="20"/>
              </w:rPr>
              <w:t>0</w:t>
            </w:r>
          </w:p>
        </w:tc>
        <w:tc>
          <w:tcPr>
            <w:tcW w:w="20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68E2E843" w14:textId="77777777" w:rsidR="00D52B83" w:rsidRDefault="00000000">
            <w:pPr>
              <w:jc w:val="center"/>
            </w:pPr>
            <w:r>
              <w:rPr>
                <w:color w:val="000000"/>
                <w:sz w:val="20"/>
                <w:szCs w:val="20"/>
              </w:rPr>
              <w:t>3</w:t>
            </w:r>
          </w:p>
        </w:tc>
        <w:tc>
          <w:tcPr>
            <w:tcW w:w="2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63F54354" w14:textId="77777777" w:rsidR="00D52B83" w:rsidRDefault="00000000">
            <w:r>
              <w:rPr>
                <w:color w:val="000000"/>
                <w:sz w:val="20"/>
                <w:szCs w:val="20"/>
              </w:rPr>
              <w:t>Fiber optic: 44%, DSL: 34%, No: 22%</w:t>
            </w:r>
          </w:p>
        </w:tc>
      </w:tr>
      <w:tr w:rsidR="00D52B83" w14:paraId="4E9BA877" w14:textId="77777777">
        <w:tblPrEx>
          <w:tblCellMar>
            <w:top w:w="0" w:type="dxa"/>
            <w:bottom w:w="0" w:type="dxa"/>
          </w:tblCellMar>
        </w:tblPrEx>
        <w:tc>
          <w:tcPr>
            <w:tcW w:w="30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4A420335" w14:textId="77777777" w:rsidR="00D52B83" w:rsidRDefault="00000000">
            <w:proofErr w:type="spellStart"/>
            <w:r>
              <w:rPr>
                <w:b/>
                <w:bCs/>
                <w:color w:val="000000"/>
                <w:sz w:val="20"/>
                <w:szCs w:val="20"/>
              </w:rPr>
              <w:t>PaymentMethod</w:t>
            </w:r>
            <w:proofErr w:type="spellEnd"/>
          </w:p>
        </w:tc>
        <w:tc>
          <w:tcPr>
            <w:tcW w:w="18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6181D727" w14:textId="77777777" w:rsidR="00D52B83" w:rsidRDefault="00000000">
            <w:pPr>
              <w:jc w:val="center"/>
            </w:pPr>
            <w:r>
              <w:rPr>
                <w:color w:val="000000"/>
                <w:sz w:val="20"/>
                <w:szCs w:val="20"/>
              </w:rPr>
              <w:t>0</w:t>
            </w:r>
          </w:p>
        </w:tc>
        <w:tc>
          <w:tcPr>
            <w:tcW w:w="20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4D27D746" w14:textId="77777777" w:rsidR="00D52B83" w:rsidRDefault="00000000">
            <w:pPr>
              <w:jc w:val="center"/>
            </w:pPr>
            <w:r>
              <w:rPr>
                <w:color w:val="000000"/>
                <w:sz w:val="20"/>
                <w:szCs w:val="20"/>
              </w:rPr>
              <w:t>4</w:t>
            </w:r>
          </w:p>
        </w:tc>
        <w:tc>
          <w:tcPr>
            <w:tcW w:w="2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0C7A65AF" w14:textId="77777777" w:rsidR="00D52B83" w:rsidRDefault="00000000">
            <w:r>
              <w:rPr>
                <w:color w:val="000000"/>
                <w:sz w:val="20"/>
                <w:szCs w:val="20"/>
              </w:rPr>
              <w:t>Electronic check dominates at 34%</w:t>
            </w:r>
          </w:p>
        </w:tc>
      </w:tr>
      <w:tr w:rsidR="00D52B83" w14:paraId="74DE06E7" w14:textId="77777777">
        <w:tblPrEx>
          <w:tblCellMar>
            <w:top w:w="0" w:type="dxa"/>
            <w:bottom w:w="0" w:type="dxa"/>
          </w:tblCellMar>
        </w:tblPrEx>
        <w:tc>
          <w:tcPr>
            <w:tcW w:w="30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49AB86B" w14:textId="77777777" w:rsidR="00D52B83" w:rsidRDefault="00000000">
            <w:r>
              <w:rPr>
                <w:b/>
                <w:bCs/>
                <w:color w:val="000000"/>
                <w:sz w:val="20"/>
                <w:szCs w:val="20"/>
              </w:rPr>
              <w:t>Churn (Target)</w:t>
            </w:r>
          </w:p>
        </w:tc>
        <w:tc>
          <w:tcPr>
            <w:tcW w:w="18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EA1BCE1" w14:textId="77777777" w:rsidR="00D52B83" w:rsidRDefault="00000000">
            <w:pPr>
              <w:jc w:val="center"/>
            </w:pPr>
            <w:r>
              <w:rPr>
                <w:color w:val="000000"/>
                <w:sz w:val="20"/>
                <w:szCs w:val="20"/>
              </w:rPr>
              <w:t>0</w:t>
            </w:r>
          </w:p>
        </w:tc>
        <w:tc>
          <w:tcPr>
            <w:tcW w:w="20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1DD8060A" w14:textId="77777777" w:rsidR="00D52B83" w:rsidRDefault="00000000">
            <w:pPr>
              <w:jc w:val="center"/>
            </w:pPr>
            <w:r>
              <w:rPr>
                <w:color w:val="000000"/>
                <w:sz w:val="20"/>
                <w:szCs w:val="20"/>
              </w:rPr>
              <w:t>2</w:t>
            </w:r>
          </w:p>
        </w:tc>
        <w:tc>
          <w:tcPr>
            <w:tcW w:w="2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036C82AE" w14:textId="77777777" w:rsidR="00D52B83" w:rsidRDefault="00000000">
            <w:r>
              <w:rPr>
                <w:color w:val="000000"/>
                <w:sz w:val="20"/>
                <w:szCs w:val="20"/>
              </w:rPr>
              <w:t>No: 73.46%, Yes: 26.54% — class imbalance present</w:t>
            </w:r>
          </w:p>
        </w:tc>
      </w:tr>
    </w:tbl>
    <w:p w14:paraId="04BBC6E1" w14:textId="77777777" w:rsidR="00D52B83" w:rsidRDefault="00D52B83">
      <w:pPr>
        <w:spacing w:before="60" w:after="60"/>
      </w:pPr>
    </w:p>
    <w:p w14:paraId="32C95C10" w14:textId="77777777" w:rsidR="00D52B83" w:rsidRDefault="00000000">
      <w:pPr>
        <w:spacing w:before="80" w:after="80"/>
      </w:pPr>
      <w:r>
        <w:rPr>
          <w:color w:val="000000"/>
        </w:rPr>
        <w:t xml:space="preserve">No duplicate records were identified. The 11 missing </w:t>
      </w:r>
      <w:proofErr w:type="spellStart"/>
      <w:r>
        <w:rPr>
          <w:color w:val="000000"/>
        </w:rPr>
        <w:t>TotalCharges</w:t>
      </w:r>
      <w:proofErr w:type="spellEnd"/>
      <w:r>
        <w:rPr>
          <w:color w:val="000000"/>
        </w:rPr>
        <w:t xml:space="preserve"> values were confirmed to correspond exclusively to customers with tenure = 0 (new customers who had not yet received a bill), confirming that missing-at-random (MAR) imputation with the median is appropriate.</w:t>
      </w:r>
    </w:p>
    <w:p w14:paraId="71DD9FBC" w14:textId="77777777" w:rsidR="00D52B83" w:rsidRDefault="00D52B83">
      <w:pPr>
        <w:spacing w:before="60" w:after="60"/>
      </w:pPr>
    </w:p>
    <w:p w14:paraId="5E45EBE7" w14:textId="77777777" w:rsidR="00D52B83" w:rsidRDefault="00000000">
      <w:pPr>
        <w:pStyle w:val="Heading2"/>
      </w:pPr>
      <w:r>
        <w:t>4.3 Class Distribution and Imbalance</w:t>
      </w:r>
    </w:p>
    <w:p w14:paraId="3B77D974" w14:textId="77777777" w:rsidR="00D52B83" w:rsidRDefault="00000000">
      <w:pPr>
        <w:spacing w:before="80" w:after="80"/>
      </w:pPr>
      <w:r>
        <w:rPr>
          <w:color w:val="000000"/>
        </w:rPr>
        <w:t>The target variable Churn exhibits a notable class imbalance:</w:t>
      </w:r>
    </w:p>
    <w:p w14:paraId="7FDE1D7D" w14:textId="77777777" w:rsidR="00D52B83" w:rsidRDefault="00000000">
      <w:pPr>
        <w:pStyle w:val="ListParagraph"/>
        <w:numPr>
          <w:ilvl w:val="0"/>
          <w:numId w:val="2"/>
        </w:numPr>
        <w:spacing w:before="40" w:after="40"/>
      </w:pPr>
      <w:r>
        <w:t>No Churn (Class 0): 5,174 customers — 73.46% of the dataset</w:t>
      </w:r>
    </w:p>
    <w:p w14:paraId="071E4943" w14:textId="77777777" w:rsidR="00D52B83" w:rsidRDefault="00000000">
      <w:pPr>
        <w:pStyle w:val="ListParagraph"/>
        <w:numPr>
          <w:ilvl w:val="0"/>
          <w:numId w:val="2"/>
        </w:numPr>
        <w:spacing w:before="40" w:after="40"/>
      </w:pPr>
      <w:r>
        <w:t>Churn (Class 1): 1,869 customers — 26.54% of the dataset</w:t>
      </w:r>
    </w:p>
    <w:p w14:paraId="2FED44C4" w14:textId="77777777" w:rsidR="00D52B83" w:rsidRDefault="00000000">
      <w:pPr>
        <w:pStyle w:val="ListParagraph"/>
        <w:numPr>
          <w:ilvl w:val="0"/>
          <w:numId w:val="2"/>
        </w:numPr>
        <w:spacing w:before="40" w:after="40"/>
      </w:pPr>
      <w:r>
        <w:t>Imbalance Ratio: approximately 2.77:1 (majority to minority)</w:t>
      </w:r>
    </w:p>
    <w:p w14:paraId="3C73DA3C" w14:textId="77777777" w:rsidR="00D52B83" w:rsidRDefault="00D52B83">
      <w:pPr>
        <w:spacing w:before="60" w:after="60"/>
      </w:pPr>
    </w:p>
    <w:p w14:paraId="43881121" w14:textId="77777777" w:rsidR="00D52B83" w:rsidRDefault="00000000">
      <w:pPr>
        <w:spacing w:before="80" w:after="80"/>
      </w:pPr>
      <w:r>
        <w:rPr>
          <w:color w:val="000000"/>
        </w:rPr>
        <w:t>While a 73/27 split is considered moderate imbalance (not extreme), it does mean that a naive classifier predicting "No Churn" for every customer would achieve 73.46% accuracy — rendering raw accuracy a misleading metric. The modelling strategy therefore emphasises F1 score and AUC-ROC as primary evaluation criteria, as these metrics account for the asymmetry between classes.</w:t>
      </w:r>
    </w:p>
    <w:p w14:paraId="5605F6F4" w14:textId="77777777" w:rsidR="00D52B83" w:rsidRDefault="00D52B83">
      <w:pPr>
        <w:spacing w:before="60" w:after="60"/>
      </w:pPr>
    </w:p>
    <w:p w14:paraId="3DDFD1EC" w14:textId="77777777" w:rsidR="00D52B83" w:rsidRDefault="00000000">
      <w:pPr>
        <w:pStyle w:val="Heading2"/>
      </w:pPr>
      <w:r>
        <w:t>4.4 Key Exploratory Observations</w:t>
      </w:r>
    </w:p>
    <w:p w14:paraId="4E85180F" w14:textId="77777777" w:rsidR="00D52B83" w:rsidRDefault="00000000">
      <w:pPr>
        <w:spacing w:before="80" w:after="80"/>
      </w:pPr>
      <w:r>
        <w:rPr>
          <w:color w:val="000000"/>
        </w:rPr>
        <w:t>The following patterns emerged from univariate and bivariate analysis:</w:t>
      </w:r>
    </w:p>
    <w:p w14:paraId="62F8E2AB" w14:textId="77777777" w:rsidR="00D52B83" w:rsidRDefault="00000000">
      <w:pPr>
        <w:pStyle w:val="ListParagraph"/>
        <w:numPr>
          <w:ilvl w:val="0"/>
          <w:numId w:val="2"/>
        </w:numPr>
        <w:spacing w:before="40" w:after="40"/>
      </w:pPr>
      <w:r>
        <w:t>Contract type is the most discriminating categorical feature. Month-to-month customers churn at approximately 42%, compared to 11% for one-year contracts and only 3% for two-year contracts.</w:t>
      </w:r>
    </w:p>
    <w:p w14:paraId="011CB78E" w14:textId="77777777" w:rsidR="00D52B83" w:rsidRDefault="00000000">
      <w:pPr>
        <w:pStyle w:val="ListParagraph"/>
        <w:numPr>
          <w:ilvl w:val="0"/>
          <w:numId w:val="2"/>
        </w:numPr>
        <w:spacing w:before="40" w:after="40"/>
      </w:pPr>
      <w:r>
        <w:lastRenderedPageBreak/>
        <w:t>Tenure is strongly inversely correlated with churn. Customers in their first 12 months churn at more than three times the rate of customers with tenure exceeding 48 months, suggesting a critical early-lifecycle retention window.</w:t>
      </w:r>
    </w:p>
    <w:p w14:paraId="45BA789C" w14:textId="77777777" w:rsidR="00D52B83" w:rsidRDefault="00000000">
      <w:pPr>
        <w:pStyle w:val="ListParagraph"/>
        <w:numPr>
          <w:ilvl w:val="0"/>
          <w:numId w:val="2"/>
        </w:numPr>
        <w:spacing w:before="40" w:after="40"/>
      </w:pPr>
      <w:r>
        <w:t>Monthly charges show a right-skewed distribution among churners, with churning customers averaging USD 74.44/month versus USD 61.27 for non-churners — an 18% premium.</w:t>
      </w:r>
    </w:p>
    <w:p w14:paraId="1DB1D117" w14:textId="77777777" w:rsidR="00D52B83" w:rsidRDefault="00000000">
      <w:pPr>
        <w:pStyle w:val="ListParagraph"/>
        <w:numPr>
          <w:ilvl w:val="0"/>
          <w:numId w:val="2"/>
        </w:numPr>
        <w:spacing w:before="40" w:after="40"/>
      </w:pPr>
      <w:r>
        <w:t>Fiber optic internet customers exhibit disproportionately high churn (42%) relative to DSL customers (19%), likely attributable to pricing and competitive alternatives.</w:t>
      </w:r>
    </w:p>
    <w:p w14:paraId="49AF2B2F" w14:textId="77777777" w:rsidR="00D52B83" w:rsidRDefault="00000000">
      <w:pPr>
        <w:pStyle w:val="ListParagraph"/>
        <w:numPr>
          <w:ilvl w:val="0"/>
          <w:numId w:val="2"/>
        </w:numPr>
        <w:spacing w:before="40" w:after="40"/>
      </w:pPr>
      <w:r>
        <w:t>Customers without Online Security or Tech Support add-ons show markedly higher churn, suggesting that value-added services act as loyalty anchors.</w:t>
      </w:r>
    </w:p>
    <w:p w14:paraId="60187D05" w14:textId="77777777" w:rsidR="00D52B83" w:rsidRDefault="00000000">
      <w:pPr>
        <w:pStyle w:val="ListParagraph"/>
        <w:numPr>
          <w:ilvl w:val="0"/>
          <w:numId w:val="2"/>
        </w:numPr>
        <w:spacing w:before="40" w:after="40"/>
      </w:pPr>
      <w:r>
        <w:t>Electronic check is the dominant payment method among churners, while customers using automated payments (bank transfer or credit card) show significantly lower churn rates.</w:t>
      </w:r>
    </w:p>
    <w:p w14:paraId="26810594" w14:textId="77777777" w:rsidR="00D52B83" w:rsidRDefault="00000000">
      <w:r>
        <w:br w:type="page"/>
      </w:r>
    </w:p>
    <w:p w14:paraId="3EBFD3A9" w14:textId="77777777" w:rsidR="00D52B83" w:rsidRDefault="00000000">
      <w:pPr>
        <w:pStyle w:val="Heading1"/>
        <w:pBdr>
          <w:bottom w:val="single" w:sz="6" w:space="1" w:color="2E5596"/>
        </w:pBdr>
      </w:pPr>
      <w:r>
        <w:lastRenderedPageBreak/>
        <w:t>5. Data Preprocessing</w:t>
      </w:r>
    </w:p>
    <w:p w14:paraId="6027CC84" w14:textId="77777777" w:rsidR="00D52B83" w:rsidRDefault="00000000">
      <w:pPr>
        <w:pStyle w:val="Heading2"/>
      </w:pPr>
      <w:r>
        <w:t>5.1 Handling Missing Values</w:t>
      </w:r>
    </w:p>
    <w:p w14:paraId="71DDC0C9" w14:textId="77777777" w:rsidR="00D52B83" w:rsidRDefault="00000000">
      <w:pPr>
        <w:spacing w:before="80" w:after="80"/>
      </w:pPr>
      <w:r>
        <w:rPr>
          <w:color w:val="000000"/>
        </w:rPr>
        <w:t xml:space="preserve">The 11 missing </w:t>
      </w:r>
      <w:proofErr w:type="spellStart"/>
      <w:r>
        <w:rPr>
          <w:color w:val="000000"/>
        </w:rPr>
        <w:t>TotalCharges</w:t>
      </w:r>
      <w:proofErr w:type="spellEnd"/>
      <w:r>
        <w:rPr>
          <w:color w:val="000000"/>
        </w:rPr>
        <w:t xml:space="preserve"> values were identified as structurally missing (new customers with no billing history). These were imputed using the dataset median (USD 1,397.47) rather than mean imputation, as </w:t>
      </w:r>
      <w:proofErr w:type="spellStart"/>
      <w:r>
        <w:rPr>
          <w:color w:val="000000"/>
        </w:rPr>
        <w:t>TotalCharges</w:t>
      </w:r>
      <w:proofErr w:type="spellEnd"/>
      <w:r>
        <w:rPr>
          <w:color w:val="000000"/>
        </w:rPr>
        <w:t xml:space="preserve"> exhibits right-skewed distribution and median imputation is more robust to outliers. Dropping these 11 rows was considered but rejected to avoid unnecessary information loss, particularly given the minority class.</w:t>
      </w:r>
    </w:p>
    <w:p w14:paraId="6339E13E" w14:textId="77777777" w:rsidR="00D52B83" w:rsidRDefault="00D52B83">
      <w:pPr>
        <w:spacing w:before="60" w:after="60"/>
      </w:pPr>
    </w:p>
    <w:p w14:paraId="3E82FC0A" w14:textId="77777777" w:rsidR="00D52B83" w:rsidRDefault="00000000">
      <w:pPr>
        <w:pStyle w:val="Heading2"/>
      </w:pPr>
      <w:r>
        <w:t>5.2 Feature Removal</w:t>
      </w:r>
    </w:p>
    <w:p w14:paraId="420BD06B" w14:textId="77777777" w:rsidR="00D52B83" w:rsidRDefault="00000000">
      <w:pPr>
        <w:spacing w:before="80" w:after="80"/>
      </w:pPr>
      <w:r>
        <w:rPr>
          <w:color w:val="000000"/>
        </w:rPr>
        <w:t xml:space="preserve">The </w:t>
      </w:r>
      <w:proofErr w:type="spellStart"/>
      <w:r>
        <w:rPr>
          <w:color w:val="000000"/>
        </w:rPr>
        <w:t>customerID</w:t>
      </w:r>
      <w:proofErr w:type="spellEnd"/>
      <w:r>
        <w:rPr>
          <w:color w:val="000000"/>
        </w:rPr>
        <w:t xml:space="preserve"> column was dropped at the outset, as it is a non-informative unique identifier with no predictive value. Including it would constitute data leakage and inflate model complexity without benefit.</w:t>
      </w:r>
    </w:p>
    <w:p w14:paraId="5A4768F8" w14:textId="77777777" w:rsidR="00D52B83" w:rsidRDefault="00D52B83">
      <w:pPr>
        <w:spacing w:before="60" w:after="60"/>
      </w:pPr>
    </w:p>
    <w:p w14:paraId="0092D29B" w14:textId="77777777" w:rsidR="00D52B83" w:rsidRDefault="00000000">
      <w:pPr>
        <w:pStyle w:val="Heading2"/>
      </w:pPr>
      <w:r>
        <w:t>5.3 Encoding Categorical Variables</w:t>
      </w:r>
    </w:p>
    <w:p w14:paraId="1BA635FD" w14:textId="77777777" w:rsidR="00D52B83" w:rsidRDefault="00000000">
      <w:pPr>
        <w:spacing w:before="80" w:after="80"/>
      </w:pPr>
      <w:r>
        <w:rPr>
          <w:color w:val="000000"/>
        </w:rPr>
        <w:t>Categorical features were handled using a dual encoding strategy:</w:t>
      </w:r>
    </w:p>
    <w:p w14:paraId="5271EECC" w14:textId="77777777" w:rsidR="00D52B83" w:rsidRDefault="00000000">
      <w:pPr>
        <w:pStyle w:val="ListParagraph"/>
        <w:numPr>
          <w:ilvl w:val="0"/>
          <w:numId w:val="2"/>
        </w:numPr>
        <w:spacing w:before="40" w:after="40"/>
      </w:pPr>
      <w:r>
        <w:t xml:space="preserve">Binary categorical features (gender, Partner, Dependents, </w:t>
      </w:r>
      <w:proofErr w:type="spellStart"/>
      <w:r>
        <w:t>PhoneService</w:t>
      </w:r>
      <w:proofErr w:type="spellEnd"/>
      <w:r>
        <w:t xml:space="preserve">, </w:t>
      </w:r>
      <w:proofErr w:type="spellStart"/>
      <w:r>
        <w:t>PaperlessBilling</w:t>
      </w:r>
      <w:proofErr w:type="spellEnd"/>
      <w:r>
        <w:t>, Churn) were encoded using Label Encoding (0/1 mapping), as their binary nature imposes no false ordinality.</w:t>
      </w:r>
    </w:p>
    <w:p w14:paraId="77E2DCD0" w14:textId="77777777" w:rsidR="00D52B83" w:rsidRDefault="00000000">
      <w:pPr>
        <w:pStyle w:val="ListParagraph"/>
        <w:numPr>
          <w:ilvl w:val="0"/>
          <w:numId w:val="2"/>
        </w:numPr>
        <w:spacing w:before="40" w:after="40"/>
      </w:pPr>
      <w:r>
        <w:t>Multi-class nominal categorical features (</w:t>
      </w:r>
      <w:proofErr w:type="spellStart"/>
      <w:r>
        <w:t>MultipleLines</w:t>
      </w:r>
      <w:proofErr w:type="spellEnd"/>
      <w:r>
        <w:t xml:space="preserve">, </w:t>
      </w:r>
      <w:proofErr w:type="spellStart"/>
      <w:r>
        <w:t>InternetService</w:t>
      </w:r>
      <w:proofErr w:type="spellEnd"/>
      <w:r>
        <w:t xml:space="preserve">, </w:t>
      </w:r>
      <w:proofErr w:type="spellStart"/>
      <w:r>
        <w:t>OnlineSecurity</w:t>
      </w:r>
      <w:proofErr w:type="spellEnd"/>
      <w:r>
        <w:t xml:space="preserve">, </w:t>
      </w:r>
      <w:proofErr w:type="spellStart"/>
      <w:r>
        <w:t>OnlineBackup</w:t>
      </w:r>
      <w:proofErr w:type="spellEnd"/>
      <w:r>
        <w:t xml:space="preserve">, </w:t>
      </w:r>
      <w:proofErr w:type="spellStart"/>
      <w:r>
        <w:t>DeviceProtection</w:t>
      </w:r>
      <w:proofErr w:type="spellEnd"/>
      <w:r>
        <w:t xml:space="preserve">, </w:t>
      </w:r>
      <w:proofErr w:type="spellStart"/>
      <w:r>
        <w:t>TechSupport</w:t>
      </w:r>
      <w:proofErr w:type="spellEnd"/>
      <w:r>
        <w:t xml:space="preserve">, </w:t>
      </w:r>
      <w:proofErr w:type="spellStart"/>
      <w:r>
        <w:t>StreamingTV</w:t>
      </w:r>
      <w:proofErr w:type="spellEnd"/>
      <w:r>
        <w:t xml:space="preserve">, </w:t>
      </w:r>
      <w:proofErr w:type="spellStart"/>
      <w:r>
        <w:t>StreamingMovies</w:t>
      </w:r>
      <w:proofErr w:type="spellEnd"/>
      <w:r>
        <w:t xml:space="preserve">, Contract, </w:t>
      </w:r>
      <w:proofErr w:type="spellStart"/>
      <w:r>
        <w:t>PaymentMethod</w:t>
      </w:r>
      <w:proofErr w:type="spellEnd"/>
      <w:r>
        <w:t>) were encoded using One-Hot Encoding (OHE) to avoid implying ordinal relationships between categories. Dummy variable trap was avoided by dropping the first category in each group (</w:t>
      </w:r>
      <w:proofErr w:type="spellStart"/>
      <w:r>
        <w:t>drop_first</w:t>
      </w:r>
      <w:proofErr w:type="spellEnd"/>
      <w:r>
        <w:t>=True).</w:t>
      </w:r>
    </w:p>
    <w:p w14:paraId="553E11D8" w14:textId="77777777" w:rsidR="00D52B83" w:rsidRDefault="00D52B83">
      <w:pPr>
        <w:spacing w:before="60" w:after="60"/>
      </w:pPr>
    </w:p>
    <w:p w14:paraId="493F7617" w14:textId="77777777" w:rsidR="00D52B83" w:rsidRDefault="00000000">
      <w:pPr>
        <w:spacing w:before="80" w:after="80"/>
      </w:pPr>
      <w:proofErr w:type="spellStart"/>
      <w:r>
        <w:rPr>
          <w:color w:val="000000"/>
        </w:rPr>
        <w:t>SeniorCitizen</w:t>
      </w:r>
      <w:proofErr w:type="spellEnd"/>
      <w:r>
        <w:rPr>
          <w:color w:val="000000"/>
        </w:rPr>
        <w:t xml:space="preserve"> was retained as-is in its native binary integer format (0/1).</w:t>
      </w:r>
    </w:p>
    <w:p w14:paraId="22A23C67" w14:textId="77777777" w:rsidR="00D52B83" w:rsidRDefault="00D52B83">
      <w:pPr>
        <w:spacing w:before="60" w:after="60"/>
      </w:pPr>
    </w:p>
    <w:p w14:paraId="44F41269" w14:textId="77777777" w:rsidR="00D52B83" w:rsidRDefault="00000000">
      <w:pPr>
        <w:pStyle w:val="Heading2"/>
      </w:pPr>
      <w:r>
        <w:t>5.4 Feature Scaling</w:t>
      </w:r>
    </w:p>
    <w:p w14:paraId="62731B90" w14:textId="77777777" w:rsidR="00D52B83" w:rsidRDefault="00000000">
      <w:pPr>
        <w:spacing w:before="80" w:after="80"/>
      </w:pPr>
      <w:r>
        <w:rPr>
          <w:color w:val="000000"/>
        </w:rPr>
        <w:t xml:space="preserve">Numeric features — tenure, </w:t>
      </w:r>
      <w:proofErr w:type="spellStart"/>
      <w:r>
        <w:rPr>
          <w:color w:val="000000"/>
        </w:rPr>
        <w:t>MonthlyCharges</w:t>
      </w:r>
      <w:proofErr w:type="spellEnd"/>
      <w:r>
        <w:rPr>
          <w:color w:val="000000"/>
        </w:rPr>
        <w:t xml:space="preserve">, and </w:t>
      </w:r>
      <w:proofErr w:type="spellStart"/>
      <w:r>
        <w:rPr>
          <w:color w:val="000000"/>
        </w:rPr>
        <w:t>TotalCharges</w:t>
      </w:r>
      <w:proofErr w:type="spellEnd"/>
      <w:r>
        <w:rPr>
          <w:color w:val="000000"/>
        </w:rPr>
        <w:t xml:space="preserve"> — were standardised using </w:t>
      </w:r>
      <w:proofErr w:type="spellStart"/>
      <w:r>
        <w:rPr>
          <w:color w:val="000000"/>
        </w:rPr>
        <w:t>StandardScaler</w:t>
      </w:r>
      <w:proofErr w:type="spellEnd"/>
      <w:r>
        <w:rPr>
          <w:color w:val="000000"/>
        </w:rPr>
        <w:t xml:space="preserve"> (zero mean, unit variance). Scaling is critical for distance-based algorithms such as SVM and for Logistic Regression, where feature magnitude can bias coefficient estimation. Tree-based models (Decision Tree, Random Forest, Gradient Boosting, </w:t>
      </w:r>
      <w:proofErr w:type="spellStart"/>
      <w:r>
        <w:rPr>
          <w:color w:val="000000"/>
        </w:rPr>
        <w:t>XGBoost</w:t>
      </w:r>
      <w:proofErr w:type="spellEnd"/>
      <w:r>
        <w:rPr>
          <w:color w:val="000000"/>
        </w:rPr>
        <w:t>) are inherently scale-invariant; however, the scaled dataset was used uniformly across all models to maintain experimental consistency.</w:t>
      </w:r>
    </w:p>
    <w:p w14:paraId="74F53FD9" w14:textId="77777777" w:rsidR="00D52B83" w:rsidRDefault="00D52B83">
      <w:pPr>
        <w:spacing w:before="60" w:after="60"/>
      </w:pPr>
    </w:p>
    <w:p w14:paraId="7F9F4E2E" w14:textId="77777777" w:rsidR="00D52B83" w:rsidRDefault="00000000">
      <w:pPr>
        <w:pStyle w:val="Heading2"/>
      </w:pPr>
      <w:r>
        <w:t>5.5 Feature Engineering</w:t>
      </w:r>
    </w:p>
    <w:p w14:paraId="1D873FB6" w14:textId="77777777" w:rsidR="00D52B83" w:rsidRDefault="00000000">
      <w:pPr>
        <w:spacing w:before="80" w:after="80"/>
      </w:pPr>
      <w:r>
        <w:rPr>
          <w:color w:val="000000"/>
        </w:rPr>
        <w:t>Three engineered features were introduced to capture non-linear relationships:</w:t>
      </w:r>
    </w:p>
    <w:p w14:paraId="68A3EC7A" w14:textId="77777777" w:rsidR="00D52B83" w:rsidRDefault="00000000">
      <w:pPr>
        <w:pStyle w:val="ListParagraph"/>
        <w:numPr>
          <w:ilvl w:val="0"/>
          <w:numId w:val="2"/>
        </w:numPr>
        <w:spacing w:before="40" w:after="40"/>
      </w:pPr>
      <w:proofErr w:type="spellStart"/>
      <w:r>
        <w:t>Charges_per_month</w:t>
      </w:r>
      <w:proofErr w:type="spellEnd"/>
      <w:r>
        <w:t xml:space="preserve">: </w:t>
      </w:r>
      <w:proofErr w:type="spellStart"/>
      <w:r>
        <w:t>TotalCharges</w:t>
      </w:r>
      <w:proofErr w:type="spellEnd"/>
      <w:r>
        <w:t xml:space="preserve"> divided by (tenure + 1) — captures average historical billing rate and smooths the zero-tenure edge case.</w:t>
      </w:r>
    </w:p>
    <w:p w14:paraId="73B3E978" w14:textId="77777777" w:rsidR="00D52B83" w:rsidRDefault="00000000">
      <w:pPr>
        <w:pStyle w:val="ListParagraph"/>
        <w:numPr>
          <w:ilvl w:val="0"/>
          <w:numId w:val="2"/>
        </w:numPr>
        <w:spacing w:before="40" w:after="40"/>
      </w:pPr>
      <w:proofErr w:type="spellStart"/>
      <w:r>
        <w:lastRenderedPageBreak/>
        <w:t>high_value_customer</w:t>
      </w:r>
      <w:proofErr w:type="spellEnd"/>
      <w:r>
        <w:t xml:space="preserve">: a binary flag indicating customers in the top quartile of </w:t>
      </w:r>
      <w:proofErr w:type="spellStart"/>
      <w:r>
        <w:t>MonthlyCharges</w:t>
      </w:r>
      <w:proofErr w:type="spellEnd"/>
      <w:r>
        <w:t xml:space="preserve"> — useful for segmenting the most commercially important at-risk customers.</w:t>
      </w:r>
    </w:p>
    <w:p w14:paraId="5810A909" w14:textId="77777777" w:rsidR="00D52B83" w:rsidRDefault="00000000">
      <w:pPr>
        <w:pStyle w:val="ListParagraph"/>
        <w:numPr>
          <w:ilvl w:val="0"/>
          <w:numId w:val="2"/>
        </w:numPr>
        <w:spacing w:before="40" w:after="40"/>
      </w:pPr>
      <w:proofErr w:type="spellStart"/>
      <w:r>
        <w:t>long_tenure</w:t>
      </w:r>
      <w:proofErr w:type="spellEnd"/>
      <w:r>
        <w:t>: a binary flag for customers with tenure exceeding 36 months — captures the loyalty cohort that represents a distinct behavioural segment.</w:t>
      </w:r>
    </w:p>
    <w:p w14:paraId="1231B5A2" w14:textId="77777777" w:rsidR="00D52B83" w:rsidRDefault="00D52B83">
      <w:pPr>
        <w:spacing w:before="60" w:after="60"/>
      </w:pPr>
    </w:p>
    <w:p w14:paraId="1811C8E4" w14:textId="77777777" w:rsidR="00D52B83" w:rsidRDefault="00000000">
      <w:pPr>
        <w:pStyle w:val="Heading2"/>
      </w:pPr>
      <w:r>
        <w:t>5.6 Train-Test Split</w:t>
      </w:r>
    </w:p>
    <w:p w14:paraId="7D549FC7" w14:textId="77777777" w:rsidR="00D52B83" w:rsidRDefault="00000000">
      <w:pPr>
        <w:spacing w:before="80" w:after="80"/>
      </w:pPr>
      <w:r>
        <w:rPr>
          <w:color w:val="000000"/>
        </w:rPr>
        <w:t xml:space="preserve">The final </w:t>
      </w:r>
      <w:proofErr w:type="spellStart"/>
      <w:r>
        <w:rPr>
          <w:color w:val="000000"/>
        </w:rPr>
        <w:t>preprocessed</w:t>
      </w:r>
      <w:proofErr w:type="spellEnd"/>
      <w:r>
        <w:rPr>
          <w:color w:val="000000"/>
        </w:rPr>
        <w:t xml:space="preserve"> dataset (7,043 rows × 32 columns after encoding and engineering) was split into training and testing sets using an 80/20 stratified split:</w:t>
      </w:r>
    </w:p>
    <w:p w14:paraId="3282840A" w14:textId="77777777" w:rsidR="00D52B83" w:rsidRDefault="00000000">
      <w:pPr>
        <w:pStyle w:val="ListParagraph"/>
        <w:numPr>
          <w:ilvl w:val="0"/>
          <w:numId w:val="2"/>
        </w:numPr>
        <w:spacing w:before="40" w:after="40"/>
      </w:pPr>
      <w:r>
        <w:t>Training set: 5,634 records (80%)</w:t>
      </w:r>
    </w:p>
    <w:p w14:paraId="54103917" w14:textId="77777777" w:rsidR="00D52B83" w:rsidRDefault="00000000">
      <w:pPr>
        <w:pStyle w:val="ListParagraph"/>
        <w:numPr>
          <w:ilvl w:val="0"/>
          <w:numId w:val="2"/>
        </w:numPr>
        <w:spacing w:before="40" w:after="40"/>
      </w:pPr>
      <w:r>
        <w:t>Test set: 1,409 records (20%)</w:t>
      </w:r>
    </w:p>
    <w:p w14:paraId="0D6B0FCF" w14:textId="77777777" w:rsidR="00D52B83" w:rsidRDefault="00000000">
      <w:pPr>
        <w:pStyle w:val="ListParagraph"/>
        <w:numPr>
          <w:ilvl w:val="0"/>
          <w:numId w:val="2"/>
        </w:numPr>
        <w:spacing w:before="40" w:after="40"/>
      </w:pPr>
      <w:r>
        <w:t>Stratification was applied on the target variable to preserve the 73/27 class ratio in both partitions, preventing accidental imbalance in the test set that could bias evaluation metrics.</w:t>
      </w:r>
    </w:p>
    <w:p w14:paraId="5F4A339E" w14:textId="77777777" w:rsidR="00D52B83" w:rsidRDefault="00D52B83">
      <w:pPr>
        <w:spacing w:before="60" w:after="60"/>
      </w:pPr>
    </w:p>
    <w:p w14:paraId="3CAB0FD0" w14:textId="77777777" w:rsidR="00D52B83" w:rsidRDefault="00000000">
      <w:pPr>
        <w:spacing w:before="80" w:after="80"/>
      </w:pPr>
      <w:r>
        <w:rPr>
          <w:color w:val="000000"/>
        </w:rPr>
        <w:t>A random state seed of 42 was applied to all splits and model initialisations to ensure full reproducibility.</w:t>
      </w:r>
    </w:p>
    <w:p w14:paraId="098A691F" w14:textId="77777777" w:rsidR="00D52B83" w:rsidRDefault="00000000">
      <w:r>
        <w:br w:type="page"/>
      </w:r>
    </w:p>
    <w:p w14:paraId="1DEF737A" w14:textId="77777777" w:rsidR="00D52B83" w:rsidRDefault="00000000">
      <w:pPr>
        <w:pStyle w:val="Heading1"/>
        <w:pBdr>
          <w:bottom w:val="single" w:sz="6" w:space="1" w:color="2E5596"/>
        </w:pBdr>
      </w:pPr>
      <w:r>
        <w:lastRenderedPageBreak/>
        <w:t>6. Model Development</w:t>
      </w:r>
    </w:p>
    <w:p w14:paraId="062DBF0E" w14:textId="77777777" w:rsidR="00D52B83" w:rsidRDefault="00000000">
      <w:pPr>
        <w:spacing w:before="80" w:after="80"/>
      </w:pPr>
      <w:r>
        <w:rPr>
          <w:color w:val="000000"/>
        </w:rPr>
        <w:t>Six supervised classification models were trained and evaluated. The selection spans the full spectrum from interpretable linear models to powerful ensemble methods, providing a comprehensive benchmark and enabling nuanced trade-off analysis between performance and interpretability.</w:t>
      </w:r>
    </w:p>
    <w:p w14:paraId="24072440" w14:textId="77777777" w:rsidR="00D52B83" w:rsidRDefault="00D52B83">
      <w:pPr>
        <w:spacing w:before="60" w:after="60"/>
      </w:pPr>
    </w:p>
    <w:p w14:paraId="41066C83" w14:textId="77777777" w:rsidR="00D52B83" w:rsidRDefault="00000000">
      <w:pPr>
        <w:pStyle w:val="Heading2"/>
      </w:pPr>
      <w:r>
        <w:t>6.1 Logistic Regression</w:t>
      </w:r>
    </w:p>
    <w:p w14:paraId="2E7DBF73" w14:textId="77777777" w:rsidR="00D52B83" w:rsidRDefault="00000000">
      <w:pPr>
        <w:spacing w:before="80" w:after="80"/>
      </w:pPr>
      <w:r>
        <w:rPr>
          <w:color w:val="000000"/>
        </w:rPr>
        <w:t>Logistic Regression was selected as the baseline model due to its statistical interpretability and efficiency. It models the log-odds of churn as a linear combination of input features, producing probability scores directly interpretable by business stakeholders. Key hyperparameters: solver = "</w:t>
      </w:r>
      <w:proofErr w:type="spellStart"/>
      <w:r>
        <w:rPr>
          <w:color w:val="000000"/>
        </w:rPr>
        <w:t>lbfgs</w:t>
      </w:r>
      <w:proofErr w:type="spellEnd"/>
      <w:r>
        <w:rPr>
          <w:color w:val="000000"/>
        </w:rPr>
        <w:t xml:space="preserve">", </w:t>
      </w:r>
      <w:proofErr w:type="spellStart"/>
      <w:r>
        <w:rPr>
          <w:color w:val="000000"/>
        </w:rPr>
        <w:t>max_iter</w:t>
      </w:r>
      <w:proofErr w:type="spellEnd"/>
      <w:r>
        <w:rPr>
          <w:color w:val="000000"/>
        </w:rPr>
        <w:t xml:space="preserve"> = 1000, C = 1.0 (L2 regularisation strength), </w:t>
      </w:r>
      <w:proofErr w:type="spellStart"/>
      <w:r>
        <w:rPr>
          <w:color w:val="000000"/>
        </w:rPr>
        <w:t>class_weight</w:t>
      </w:r>
      <w:proofErr w:type="spellEnd"/>
      <w:r>
        <w:rPr>
          <w:color w:val="000000"/>
        </w:rPr>
        <w:t xml:space="preserve"> = "balanced" (to partially compensate for class imbalance). Assumption: a linear decision boundary in the feature space is sufficient to separate classes; multicollinearity among predictors is limited.</w:t>
      </w:r>
    </w:p>
    <w:p w14:paraId="29265ACC" w14:textId="77777777" w:rsidR="00D52B83" w:rsidRDefault="00D52B83">
      <w:pPr>
        <w:spacing w:before="60" w:after="60"/>
      </w:pPr>
    </w:p>
    <w:p w14:paraId="3F760A8B" w14:textId="77777777" w:rsidR="00D52B83" w:rsidRDefault="00000000">
      <w:pPr>
        <w:pStyle w:val="Heading2"/>
      </w:pPr>
      <w:r>
        <w:t>6.2 Decision Tree Classifier</w:t>
      </w:r>
    </w:p>
    <w:p w14:paraId="2E7F4672" w14:textId="77777777" w:rsidR="00D52B83" w:rsidRDefault="00000000">
      <w:pPr>
        <w:spacing w:before="80" w:after="80"/>
      </w:pPr>
      <w:r>
        <w:rPr>
          <w:color w:val="000000"/>
        </w:rPr>
        <w:t>The Decision Tree was included to provide a fully interpretable, rule-based model whose logic can be visualised and communicated to non-technical stakeholders. It partitions the feature space using binary splits that maximise information gain. Key hyperparameters: criterion = "</w:t>
      </w:r>
      <w:proofErr w:type="spellStart"/>
      <w:r>
        <w:rPr>
          <w:color w:val="000000"/>
        </w:rPr>
        <w:t>gini</w:t>
      </w:r>
      <w:proofErr w:type="spellEnd"/>
      <w:r>
        <w:rPr>
          <w:color w:val="000000"/>
        </w:rPr>
        <w:t xml:space="preserve">", </w:t>
      </w:r>
      <w:proofErr w:type="spellStart"/>
      <w:r>
        <w:rPr>
          <w:color w:val="000000"/>
        </w:rPr>
        <w:t>max_depth</w:t>
      </w:r>
      <w:proofErr w:type="spellEnd"/>
      <w:r>
        <w:rPr>
          <w:color w:val="000000"/>
        </w:rPr>
        <w:t xml:space="preserve"> = 6 (to prevent overfitting), </w:t>
      </w:r>
      <w:proofErr w:type="spellStart"/>
      <w:r>
        <w:rPr>
          <w:color w:val="000000"/>
        </w:rPr>
        <w:t>min_samples_split</w:t>
      </w:r>
      <w:proofErr w:type="spellEnd"/>
      <w:r>
        <w:rPr>
          <w:color w:val="000000"/>
        </w:rPr>
        <w:t xml:space="preserve"> = 20, </w:t>
      </w:r>
      <w:proofErr w:type="spellStart"/>
      <w:r>
        <w:rPr>
          <w:color w:val="000000"/>
        </w:rPr>
        <w:t>min_samples_leaf</w:t>
      </w:r>
      <w:proofErr w:type="spellEnd"/>
      <w:r>
        <w:rPr>
          <w:color w:val="000000"/>
        </w:rPr>
        <w:t xml:space="preserve"> = 10, </w:t>
      </w:r>
      <w:proofErr w:type="spellStart"/>
      <w:r>
        <w:rPr>
          <w:color w:val="000000"/>
        </w:rPr>
        <w:t>class_weight</w:t>
      </w:r>
      <w:proofErr w:type="spellEnd"/>
      <w:r>
        <w:rPr>
          <w:color w:val="000000"/>
        </w:rPr>
        <w:t xml:space="preserve"> = "balanced". Assumption: the data can be partitioned into homogeneous regions by axis-aligned splits.</w:t>
      </w:r>
    </w:p>
    <w:p w14:paraId="63BE55FC" w14:textId="77777777" w:rsidR="00D52B83" w:rsidRDefault="00D52B83">
      <w:pPr>
        <w:spacing w:before="60" w:after="60"/>
      </w:pPr>
    </w:p>
    <w:p w14:paraId="17F584D5" w14:textId="77777777" w:rsidR="00D52B83" w:rsidRDefault="00000000">
      <w:pPr>
        <w:pStyle w:val="Heading2"/>
      </w:pPr>
      <w:r>
        <w:t>6.3 Random Forest Classifier</w:t>
      </w:r>
    </w:p>
    <w:p w14:paraId="40F5A284" w14:textId="77777777" w:rsidR="00D52B83" w:rsidRDefault="00000000">
      <w:pPr>
        <w:spacing w:before="80" w:after="80"/>
      </w:pPr>
      <w:r>
        <w:rPr>
          <w:color w:val="000000"/>
        </w:rPr>
        <w:t xml:space="preserve">Random Forest extends the Decision Tree through bootstrap aggregation (bagging) of multiple trees with random feature subsets, dramatically reducing variance and overfitting. It is robust to outliers and handles non-linear interactions well. Key hyperparameters: </w:t>
      </w:r>
      <w:proofErr w:type="spellStart"/>
      <w:r>
        <w:rPr>
          <w:color w:val="000000"/>
        </w:rPr>
        <w:t>n_estimators</w:t>
      </w:r>
      <w:proofErr w:type="spellEnd"/>
      <w:r>
        <w:rPr>
          <w:color w:val="000000"/>
        </w:rPr>
        <w:t xml:space="preserve"> = 200, </w:t>
      </w:r>
      <w:proofErr w:type="spellStart"/>
      <w:r>
        <w:rPr>
          <w:color w:val="000000"/>
        </w:rPr>
        <w:t>max_depth</w:t>
      </w:r>
      <w:proofErr w:type="spellEnd"/>
      <w:r>
        <w:rPr>
          <w:color w:val="000000"/>
        </w:rPr>
        <w:t xml:space="preserve"> = 10, </w:t>
      </w:r>
      <w:proofErr w:type="spellStart"/>
      <w:r>
        <w:rPr>
          <w:color w:val="000000"/>
        </w:rPr>
        <w:t>max_features</w:t>
      </w:r>
      <w:proofErr w:type="spellEnd"/>
      <w:r>
        <w:rPr>
          <w:color w:val="000000"/>
        </w:rPr>
        <w:t xml:space="preserve"> = "sqrt", </w:t>
      </w:r>
      <w:proofErr w:type="spellStart"/>
      <w:r>
        <w:rPr>
          <w:color w:val="000000"/>
        </w:rPr>
        <w:t>min_samples_leaf</w:t>
      </w:r>
      <w:proofErr w:type="spellEnd"/>
      <w:r>
        <w:rPr>
          <w:color w:val="000000"/>
        </w:rPr>
        <w:t xml:space="preserve"> = 10, </w:t>
      </w:r>
      <w:proofErr w:type="spellStart"/>
      <w:r>
        <w:rPr>
          <w:color w:val="000000"/>
        </w:rPr>
        <w:t>class_weight</w:t>
      </w:r>
      <w:proofErr w:type="spellEnd"/>
      <w:r>
        <w:rPr>
          <w:color w:val="000000"/>
        </w:rPr>
        <w:t xml:space="preserve"> = "balanced", </w:t>
      </w:r>
      <w:proofErr w:type="spellStart"/>
      <w:r>
        <w:rPr>
          <w:color w:val="000000"/>
        </w:rPr>
        <w:t>random_state</w:t>
      </w:r>
      <w:proofErr w:type="spellEnd"/>
      <w:r>
        <w:rPr>
          <w:color w:val="000000"/>
        </w:rPr>
        <w:t xml:space="preserve"> = 42. Assumption: the ensemble of independently grown trees collectively approximates the true decision boundary more accurately than any individual tree.</w:t>
      </w:r>
    </w:p>
    <w:p w14:paraId="2A687234" w14:textId="77777777" w:rsidR="00D52B83" w:rsidRDefault="00D52B83">
      <w:pPr>
        <w:spacing w:before="60" w:after="60"/>
      </w:pPr>
    </w:p>
    <w:p w14:paraId="03F1FCFA" w14:textId="77777777" w:rsidR="00D52B83" w:rsidRDefault="00000000">
      <w:pPr>
        <w:pStyle w:val="Heading2"/>
      </w:pPr>
      <w:r>
        <w:t>6.4 Support Vector Machine (SVM — RBF Kernel)</w:t>
      </w:r>
    </w:p>
    <w:p w14:paraId="7582AC41" w14:textId="77777777" w:rsidR="00D52B83" w:rsidRDefault="00000000">
      <w:pPr>
        <w:spacing w:before="80" w:after="80"/>
      </w:pPr>
      <w:r>
        <w:rPr>
          <w:color w:val="000000"/>
        </w:rPr>
        <w:t>SVM was included as an advanced non-linear classifier capable of finding complex, high-dimensional decision boundaries via the kernel trick. The Radial Basis Function (RBF) kernel maps the data into an infinite-dimensional feature space, enabling non-linear separation. Key hyperparameters: kernel = "</w:t>
      </w:r>
      <w:proofErr w:type="spellStart"/>
      <w:r>
        <w:rPr>
          <w:color w:val="000000"/>
        </w:rPr>
        <w:t>rbf</w:t>
      </w:r>
      <w:proofErr w:type="spellEnd"/>
      <w:r>
        <w:rPr>
          <w:color w:val="000000"/>
        </w:rPr>
        <w:t xml:space="preserve">", C = 1.0, gamma = "scale", probability = True (to enable AUC-ROC scoring), </w:t>
      </w:r>
      <w:proofErr w:type="spellStart"/>
      <w:r>
        <w:rPr>
          <w:color w:val="000000"/>
        </w:rPr>
        <w:t>class_weight</w:t>
      </w:r>
      <w:proofErr w:type="spellEnd"/>
      <w:r>
        <w:rPr>
          <w:color w:val="000000"/>
        </w:rPr>
        <w:t xml:space="preserve"> = "balanced". Assumption: an optimal separating hyperplane exists in the RBF-transformed feature space with an acceptable margin.</w:t>
      </w:r>
    </w:p>
    <w:p w14:paraId="3117249D" w14:textId="77777777" w:rsidR="00D52B83" w:rsidRDefault="00D52B83">
      <w:pPr>
        <w:spacing w:before="60" w:after="60"/>
      </w:pPr>
    </w:p>
    <w:p w14:paraId="5FE45D32" w14:textId="77777777" w:rsidR="00D52B83" w:rsidRDefault="00000000">
      <w:pPr>
        <w:pStyle w:val="Heading2"/>
      </w:pPr>
      <w:r>
        <w:t>6.5 Gradient Boosting Classifier</w:t>
      </w:r>
    </w:p>
    <w:p w14:paraId="56D82FEA" w14:textId="77777777" w:rsidR="00D52B83" w:rsidRDefault="00000000">
      <w:pPr>
        <w:spacing w:before="80" w:after="80"/>
      </w:pPr>
      <w:r>
        <w:rPr>
          <w:color w:val="000000"/>
        </w:rPr>
        <w:lastRenderedPageBreak/>
        <w:t xml:space="preserve">Gradient Boosting builds an additive ensemble of shallow trees in a sequential, error-correcting manner, directly minimising a differentiable loss function. This generally achieves lower bias than Random Forest. Key hyperparameters: </w:t>
      </w:r>
      <w:proofErr w:type="spellStart"/>
      <w:r>
        <w:rPr>
          <w:color w:val="000000"/>
        </w:rPr>
        <w:t>n_estimators</w:t>
      </w:r>
      <w:proofErr w:type="spellEnd"/>
      <w:r>
        <w:rPr>
          <w:color w:val="000000"/>
        </w:rPr>
        <w:t xml:space="preserve"> = 200, </w:t>
      </w:r>
      <w:proofErr w:type="spellStart"/>
      <w:r>
        <w:rPr>
          <w:color w:val="000000"/>
        </w:rPr>
        <w:t>learning_rate</w:t>
      </w:r>
      <w:proofErr w:type="spellEnd"/>
      <w:r>
        <w:rPr>
          <w:color w:val="000000"/>
        </w:rPr>
        <w:t xml:space="preserve"> = 0.05, </w:t>
      </w:r>
      <w:proofErr w:type="spellStart"/>
      <w:r>
        <w:rPr>
          <w:color w:val="000000"/>
        </w:rPr>
        <w:t>max_depth</w:t>
      </w:r>
      <w:proofErr w:type="spellEnd"/>
      <w:r>
        <w:rPr>
          <w:color w:val="000000"/>
        </w:rPr>
        <w:t xml:space="preserve"> = 4, subsample = 0.8, </w:t>
      </w:r>
      <w:proofErr w:type="spellStart"/>
      <w:r>
        <w:rPr>
          <w:color w:val="000000"/>
        </w:rPr>
        <w:t>min_samples_leaf</w:t>
      </w:r>
      <w:proofErr w:type="spellEnd"/>
      <w:r>
        <w:rPr>
          <w:color w:val="000000"/>
        </w:rPr>
        <w:t xml:space="preserve"> = 20, </w:t>
      </w:r>
      <w:proofErr w:type="spellStart"/>
      <w:r>
        <w:rPr>
          <w:color w:val="000000"/>
        </w:rPr>
        <w:t>random_state</w:t>
      </w:r>
      <w:proofErr w:type="spellEnd"/>
      <w:r>
        <w:rPr>
          <w:color w:val="000000"/>
        </w:rPr>
        <w:t xml:space="preserve"> = 42. Assumption: boosting can iteratively correct residual errors from prior weak learners without excessive overfitting given regularisation via subsampling and shallow depth.</w:t>
      </w:r>
    </w:p>
    <w:p w14:paraId="3EB2FB4D" w14:textId="77777777" w:rsidR="00D52B83" w:rsidRDefault="00D52B83">
      <w:pPr>
        <w:spacing w:before="60" w:after="60"/>
      </w:pPr>
    </w:p>
    <w:p w14:paraId="735F83E6" w14:textId="77777777" w:rsidR="00D52B83" w:rsidRDefault="00000000">
      <w:pPr>
        <w:pStyle w:val="Heading2"/>
      </w:pPr>
      <w:r>
        <w:t xml:space="preserve">6.6 </w:t>
      </w:r>
      <w:proofErr w:type="spellStart"/>
      <w:r>
        <w:t>XGBoost</w:t>
      </w:r>
      <w:proofErr w:type="spellEnd"/>
      <w:r>
        <w:t xml:space="preserve"> Classifier</w:t>
      </w:r>
    </w:p>
    <w:p w14:paraId="325400F9" w14:textId="77777777" w:rsidR="00D52B83" w:rsidRDefault="00000000">
      <w:pPr>
        <w:spacing w:before="80" w:after="80"/>
      </w:pPr>
      <w:proofErr w:type="spellStart"/>
      <w:r>
        <w:rPr>
          <w:color w:val="000000"/>
        </w:rPr>
        <w:t>XGBoost</w:t>
      </w:r>
      <w:proofErr w:type="spellEnd"/>
      <w:r>
        <w:rPr>
          <w:color w:val="000000"/>
        </w:rPr>
        <w:t xml:space="preserve"> (Extreme Gradient Boosting) extends Gradient Boosting with second-order gradient information, built-in L1/L2 regularisation, and hardware-optimised parallelism. It consistently achieves state-of-the-art performance on tabular classification tasks and was the primary candidate for the best-performing model. Key hyperparameters: </w:t>
      </w:r>
      <w:proofErr w:type="spellStart"/>
      <w:r>
        <w:rPr>
          <w:color w:val="000000"/>
        </w:rPr>
        <w:t>n_estimators</w:t>
      </w:r>
      <w:proofErr w:type="spellEnd"/>
      <w:r>
        <w:rPr>
          <w:color w:val="000000"/>
        </w:rPr>
        <w:t xml:space="preserve"> = 300, </w:t>
      </w:r>
      <w:proofErr w:type="spellStart"/>
      <w:r>
        <w:rPr>
          <w:color w:val="000000"/>
        </w:rPr>
        <w:t>learning_rate</w:t>
      </w:r>
      <w:proofErr w:type="spellEnd"/>
      <w:r>
        <w:rPr>
          <w:color w:val="000000"/>
        </w:rPr>
        <w:t xml:space="preserve"> = 0.05, </w:t>
      </w:r>
      <w:proofErr w:type="spellStart"/>
      <w:r>
        <w:rPr>
          <w:color w:val="000000"/>
        </w:rPr>
        <w:t>max_depth</w:t>
      </w:r>
      <w:proofErr w:type="spellEnd"/>
      <w:r>
        <w:rPr>
          <w:color w:val="000000"/>
        </w:rPr>
        <w:t xml:space="preserve"> = 5, subsample = 0.8, </w:t>
      </w:r>
      <w:proofErr w:type="spellStart"/>
      <w:r>
        <w:rPr>
          <w:color w:val="000000"/>
        </w:rPr>
        <w:t>colsample_bytree</w:t>
      </w:r>
      <w:proofErr w:type="spellEnd"/>
      <w:r>
        <w:rPr>
          <w:color w:val="000000"/>
        </w:rPr>
        <w:t xml:space="preserve"> = 0.8, </w:t>
      </w:r>
      <w:proofErr w:type="spellStart"/>
      <w:r>
        <w:rPr>
          <w:color w:val="000000"/>
        </w:rPr>
        <w:t>reg_alpha</w:t>
      </w:r>
      <w:proofErr w:type="spellEnd"/>
      <w:r>
        <w:rPr>
          <w:color w:val="000000"/>
        </w:rPr>
        <w:t xml:space="preserve"> = 0.1 (L1), </w:t>
      </w:r>
      <w:proofErr w:type="spellStart"/>
      <w:r>
        <w:rPr>
          <w:color w:val="000000"/>
        </w:rPr>
        <w:t>reg_lambda</w:t>
      </w:r>
      <w:proofErr w:type="spellEnd"/>
      <w:r>
        <w:rPr>
          <w:color w:val="000000"/>
        </w:rPr>
        <w:t xml:space="preserve"> = 1.0 (L2), </w:t>
      </w:r>
      <w:proofErr w:type="spellStart"/>
      <w:r>
        <w:rPr>
          <w:color w:val="000000"/>
        </w:rPr>
        <w:t>scale_pos_weight</w:t>
      </w:r>
      <w:proofErr w:type="spellEnd"/>
      <w:r>
        <w:rPr>
          <w:color w:val="000000"/>
        </w:rPr>
        <w:t xml:space="preserve"> = 2.77 (inverse of class ratio, addressing imbalance), </w:t>
      </w:r>
      <w:proofErr w:type="spellStart"/>
      <w:r>
        <w:rPr>
          <w:color w:val="000000"/>
        </w:rPr>
        <w:t>eval_metric</w:t>
      </w:r>
      <w:proofErr w:type="spellEnd"/>
      <w:r>
        <w:rPr>
          <w:color w:val="000000"/>
        </w:rPr>
        <w:t xml:space="preserve"> = "</w:t>
      </w:r>
      <w:proofErr w:type="spellStart"/>
      <w:r>
        <w:rPr>
          <w:color w:val="000000"/>
        </w:rPr>
        <w:t>logloss</w:t>
      </w:r>
      <w:proofErr w:type="spellEnd"/>
      <w:r>
        <w:rPr>
          <w:color w:val="000000"/>
        </w:rPr>
        <w:t xml:space="preserve">", </w:t>
      </w:r>
      <w:proofErr w:type="spellStart"/>
      <w:r>
        <w:rPr>
          <w:color w:val="000000"/>
        </w:rPr>
        <w:t>random_state</w:t>
      </w:r>
      <w:proofErr w:type="spellEnd"/>
      <w:r>
        <w:rPr>
          <w:color w:val="000000"/>
        </w:rPr>
        <w:t xml:space="preserve"> = 42. Assumption: gradient boosting with second-order Taylor expansion provides a superior approximation of the loss function landscape compared to first-order methods.</w:t>
      </w:r>
    </w:p>
    <w:p w14:paraId="5BB61205" w14:textId="77777777" w:rsidR="00D52B83" w:rsidRDefault="00000000">
      <w:r>
        <w:br w:type="page"/>
      </w:r>
    </w:p>
    <w:p w14:paraId="72DE212E" w14:textId="77777777" w:rsidR="00D52B83" w:rsidRDefault="00000000">
      <w:pPr>
        <w:pStyle w:val="Heading1"/>
        <w:pBdr>
          <w:bottom w:val="single" w:sz="6" w:space="1" w:color="2E5596"/>
        </w:pBdr>
      </w:pPr>
      <w:r>
        <w:lastRenderedPageBreak/>
        <w:t>7. Model Evaluation and Comparison</w:t>
      </w:r>
    </w:p>
    <w:p w14:paraId="4EABD9F8" w14:textId="77777777" w:rsidR="00D52B83" w:rsidRDefault="00000000">
      <w:pPr>
        <w:pStyle w:val="Heading2"/>
      </w:pPr>
      <w:r>
        <w:t>7.1 Evaluation Metrics</w:t>
      </w:r>
    </w:p>
    <w:p w14:paraId="31D5ED77" w14:textId="77777777" w:rsidR="00D52B83" w:rsidRDefault="00000000">
      <w:pPr>
        <w:spacing w:before="80" w:after="80"/>
      </w:pPr>
      <w:r>
        <w:rPr>
          <w:color w:val="000000"/>
        </w:rPr>
        <w:t>All six models were evaluated on the held-out test set (1,409 records) using five metrics: Accuracy, Precision, Recall, F1 Score, and AUC-ROC. Given the class imbalance, F1 Score (the harmonic mean of Precision and Recall) and AUC-ROC were treated as the primary performance indicators. Accuracy is reported for completeness but is not used as the sole selection criterion.</w:t>
      </w:r>
    </w:p>
    <w:p w14:paraId="7703B70F" w14:textId="77777777" w:rsidR="00D52B83" w:rsidRDefault="00D52B83">
      <w:pPr>
        <w:spacing w:before="60" w:after="60"/>
      </w:pPr>
    </w:p>
    <w:p w14:paraId="6492A991" w14:textId="77777777" w:rsidR="00D52B83" w:rsidRDefault="00000000">
      <w:pPr>
        <w:pStyle w:val="Heading2"/>
      </w:pPr>
      <w:r>
        <w:t>7.2 Model Comparison Table</w:t>
      </w:r>
    </w:p>
    <w:p w14:paraId="698007E6" w14:textId="77777777" w:rsidR="00D52B83" w:rsidRDefault="00D52B8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343"/>
        <w:gridCol w:w="1343"/>
        <w:gridCol w:w="1343"/>
        <w:gridCol w:w="1343"/>
        <w:gridCol w:w="1508"/>
      </w:tblGrid>
      <w:tr w:rsidR="00D52B83" w14:paraId="37D1E9D7" w14:textId="77777777">
        <w:tblPrEx>
          <w:tblCellMar>
            <w:top w:w="0" w:type="dxa"/>
            <w:bottom w:w="0" w:type="dxa"/>
          </w:tblCellMar>
        </w:tblPrEx>
        <w:trPr>
          <w:tblHeader/>
        </w:trPr>
        <w:tc>
          <w:tcPr>
            <w:tcW w:w="240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6FBBF5CB" w14:textId="77777777" w:rsidR="00D52B83" w:rsidRDefault="00000000">
            <w:r>
              <w:rPr>
                <w:b/>
                <w:bCs/>
                <w:color w:val="1F3864"/>
                <w:sz w:val="20"/>
                <w:szCs w:val="20"/>
              </w:rPr>
              <w:t>Model</w:t>
            </w:r>
          </w:p>
        </w:tc>
        <w:tc>
          <w:tcPr>
            <w:tcW w:w="130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18D15486" w14:textId="77777777" w:rsidR="00D52B83" w:rsidRDefault="00000000">
            <w:r>
              <w:rPr>
                <w:b/>
                <w:bCs/>
                <w:color w:val="1F3864"/>
                <w:sz w:val="20"/>
                <w:szCs w:val="20"/>
              </w:rPr>
              <w:t>Accuracy</w:t>
            </w:r>
          </w:p>
        </w:tc>
        <w:tc>
          <w:tcPr>
            <w:tcW w:w="130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31A4622F" w14:textId="77777777" w:rsidR="00D52B83" w:rsidRDefault="00000000">
            <w:r>
              <w:rPr>
                <w:b/>
                <w:bCs/>
                <w:color w:val="1F3864"/>
                <w:sz w:val="20"/>
                <w:szCs w:val="20"/>
              </w:rPr>
              <w:t>Precision</w:t>
            </w:r>
          </w:p>
        </w:tc>
        <w:tc>
          <w:tcPr>
            <w:tcW w:w="130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0A57862F" w14:textId="77777777" w:rsidR="00D52B83" w:rsidRDefault="00000000">
            <w:r>
              <w:rPr>
                <w:b/>
                <w:bCs/>
                <w:color w:val="1F3864"/>
                <w:sz w:val="20"/>
                <w:szCs w:val="20"/>
              </w:rPr>
              <w:t>Recall</w:t>
            </w:r>
          </w:p>
        </w:tc>
        <w:tc>
          <w:tcPr>
            <w:tcW w:w="130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5AC37C22" w14:textId="77777777" w:rsidR="00D52B83" w:rsidRDefault="00000000">
            <w:r>
              <w:rPr>
                <w:b/>
                <w:bCs/>
                <w:color w:val="1F3864"/>
                <w:sz w:val="20"/>
                <w:szCs w:val="20"/>
              </w:rPr>
              <w:t>F1 Score</w:t>
            </w:r>
          </w:p>
        </w:tc>
        <w:tc>
          <w:tcPr>
            <w:tcW w:w="146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187E13FF" w14:textId="77777777" w:rsidR="00D52B83" w:rsidRDefault="00000000">
            <w:r>
              <w:rPr>
                <w:b/>
                <w:bCs/>
                <w:color w:val="1F3864"/>
                <w:sz w:val="20"/>
                <w:szCs w:val="20"/>
              </w:rPr>
              <w:t>AUC-ROC</w:t>
            </w:r>
          </w:p>
        </w:tc>
      </w:tr>
      <w:tr w:rsidR="00D52B83" w14:paraId="2363307C" w14:textId="77777777">
        <w:tblPrEx>
          <w:tblCellMar>
            <w:top w:w="0" w:type="dxa"/>
            <w:bottom w:w="0" w:type="dxa"/>
          </w:tblCellMar>
        </w:tblPrEx>
        <w:tc>
          <w:tcPr>
            <w:tcW w:w="24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0B04AC88" w14:textId="77777777" w:rsidR="00D52B83" w:rsidRDefault="00000000">
            <w:r>
              <w:rPr>
                <w:color w:val="000000"/>
                <w:sz w:val="20"/>
                <w:szCs w:val="20"/>
              </w:rPr>
              <w:t>Logistic Regression</w:t>
            </w:r>
          </w:p>
        </w:tc>
        <w:tc>
          <w:tcPr>
            <w:tcW w:w="13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D5BA590" w14:textId="77777777" w:rsidR="00D52B83" w:rsidRDefault="00000000">
            <w:pPr>
              <w:jc w:val="center"/>
            </w:pPr>
            <w:r>
              <w:rPr>
                <w:color w:val="000000"/>
                <w:sz w:val="20"/>
                <w:szCs w:val="20"/>
              </w:rPr>
              <w:t>80.2%</w:t>
            </w:r>
          </w:p>
        </w:tc>
        <w:tc>
          <w:tcPr>
            <w:tcW w:w="13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FEB5C14" w14:textId="77777777" w:rsidR="00D52B83" w:rsidRDefault="00000000">
            <w:pPr>
              <w:jc w:val="center"/>
            </w:pPr>
            <w:r>
              <w:rPr>
                <w:color w:val="000000"/>
                <w:sz w:val="20"/>
                <w:szCs w:val="20"/>
              </w:rPr>
              <w:t>65.8%</w:t>
            </w:r>
          </w:p>
        </w:tc>
        <w:tc>
          <w:tcPr>
            <w:tcW w:w="13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13385225" w14:textId="77777777" w:rsidR="00D52B83" w:rsidRDefault="00000000">
            <w:pPr>
              <w:jc w:val="center"/>
            </w:pPr>
            <w:r>
              <w:rPr>
                <w:color w:val="000000"/>
                <w:sz w:val="20"/>
                <w:szCs w:val="20"/>
              </w:rPr>
              <w:t>54.9%</w:t>
            </w:r>
          </w:p>
        </w:tc>
        <w:tc>
          <w:tcPr>
            <w:tcW w:w="13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2B417FA" w14:textId="77777777" w:rsidR="00D52B83" w:rsidRDefault="00000000">
            <w:pPr>
              <w:jc w:val="center"/>
            </w:pPr>
            <w:r>
              <w:rPr>
                <w:color w:val="000000"/>
                <w:sz w:val="20"/>
                <w:szCs w:val="20"/>
              </w:rPr>
              <w:t>59.8%</w:t>
            </w:r>
          </w:p>
        </w:tc>
        <w:tc>
          <w:tcPr>
            <w:tcW w:w="14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0208B70D" w14:textId="77777777" w:rsidR="00D52B83" w:rsidRDefault="00000000">
            <w:pPr>
              <w:jc w:val="center"/>
            </w:pPr>
            <w:r>
              <w:rPr>
                <w:color w:val="000000"/>
                <w:sz w:val="20"/>
                <w:szCs w:val="20"/>
              </w:rPr>
              <w:t>0.843</w:t>
            </w:r>
          </w:p>
        </w:tc>
      </w:tr>
      <w:tr w:rsidR="00D52B83" w14:paraId="4342BC20" w14:textId="77777777">
        <w:tblPrEx>
          <w:tblCellMar>
            <w:top w:w="0" w:type="dxa"/>
            <w:bottom w:w="0" w:type="dxa"/>
          </w:tblCellMar>
        </w:tblPrEx>
        <w:tc>
          <w:tcPr>
            <w:tcW w:w="24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2F47D8D2" w14:textId="77777777" w:rsidR="00D52B83" w:rsidRDefault="00000000">
            <w:r>
              <w:rPr>
                <w:color w:val="000000"/>
                <w:sz w:val="20"/>
                <w:szCs w:val="20"/>
              </w:rPr>
              <w:t>Decision Tree</w:t>
            </w:r>
          </w:p>
        </w:tc>
        <w:tc>
          <w:tcPr>
            <w:tcW w:w="13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7255BD9D" w14:textId="77777777" w:rsidR="00D52B83" w:rsidRDefault="00000000">
            <w:pPr>
              <w:jc w:val="center"/>
            </w:pPr>
            <w:r>
              <w:rPr>
                <w:color w:val="000000"/>
                <w:sz w:val="20"/>
                <w:szCs w:val="20"/>
              </w:rPr>
              <w:t>78.6%</w:t>
            </w:r>
          </w:p>
        </w:tc>
        <w:tc>
          <w:tcPr>
            <w:tcW w:w="13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5E581B42" w14:textId="77777777" w:rsidR="00D52B83" w:rsidRDefault="00000000">
            <w:pPr>
              <w:jc w:val="center"/>
            </w:pPr>
            <w:r>
              <w:rPr>
                <w:color w:val="000000"/>
                <w:sz w:val="20"/>
                <w:szCs w:val="20"/>
              </w:rPr>
              <w:t>60.4%</w:t>
            </w:r>
          </w:p>
        </w:tc>
        <w:tc>
          <w:tcPr>
            <w:tcW w:w="13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751A8A1E" w14:textId="77777777" w:rsidR="00D52B83" w:rsidRDefault="00000000">
            <w:pPr>
              <w:jc w:val="center"/>
            </w:pPr>
            <w:r>
              <w:rPr>
                <w:color w:val="000000"/>
                <w:sz w:val="20"/>
                <w:szCs w:val="20"/>
              </w:rPr>
              <w:t>57.2%</w:t>
            </w:r>
          </w:p>
        </w:tc>
        <w:tc>
          <w:tcPr>
            <w:tcW w:w="13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16318442" w14:textId="77777777" w:rsidR="00D52B83" w:rsidRDefault="00000000">
            <w:pPr>
              <w:jc w:val="center"/>
            </w:pPr>
            <w:r>
              <w:rPr>
                <w:color w:val="000000"/>
                <w:sz w:val="20"/>
                <w:szCs w:val="20"/>
              </w:rPr>
              <w:t>58.7%</w:t>
            </w:r>
          </w:p>
        </w:tc>
        <w:tc>
          <w:tcPr>
            <w:tcW w:w="14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04AB8610" w14:textId="77777777" w:rsidR="00D52B83" w:rsidRDefault="00000000">
            <w:pPr>
              <w:jc w:val="center"/>
            </w:pPr>
            <w:r>
              <w:rPr>
                <w:color w:val="000000"/>
                <w:sz w:val="20"/>
                <w:szCs w:val="20"/>
              </w:rPr>
              <w:t>0.814</w:t>
            </w:r>
          </w:p>
        </w:tc>
      </w:tr>
      <w:tr w:rsidR="00D52B83" w14:paraId="48CAB6EF" w14:textId="77777777">
        <w:tblPrEx>
          <w:tblCellMar>
            <w:top w:w="0" w:type="dxa"/>
            <w:bottom w:w="0" w:type="dxa"/>
          </w:tblCellMar>
        </w:tblPrEx>
        <w:tc>
          <w:tcPr>
            <w:tcW w:w="24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237E6D2" w14:textId="77777777" w:rsidR="00D52B83" w:rsidRDefault="00000000">
            <w:r>
              <w:rPr>
                <w:color w:val="000000"/>
                <w:sz w:val="20"/>
                <w:szCs w:val="20"/>
              </w:rPr>
              <w:t>Random Forest</w:t>
            </w:r>
          </w:p>
        </w:tc>
        <w:tc>
          <w:tcPr>
            <w:tcW w:w="13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659F0644" w14:textId="77777777" w:rsidR="00D52B83" w:rsidRDefault="00000000">
            <w:pPr>
              <w:jc w:val="center"/>
            </w:pPr>
            <w:r>
              <w:rPr>
                <w:color w:val="000000"/>
                <w:sz w:val="20"/>
                <w:szCs w:val="20"/>
              </w:rPr>
              <w:t>79.8%</w:t>
            </w:r>
          </w:p>
        </w:tc>
        <w:tc>
          <w:tcPr>
            <w:tcW w:w="13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20C041D6" w14:textId="77777777" w:rsidR="00D52B83" w:rsidRDefault="00000000">
            <w:pPr>
              <w:jc w:val="center"/>
            </w:pPr>
            <w:r>
              <w:rPr>
                <w:color w:val="000000"/>
                <w:sz w:val="20"/>
                <w:szCs w:val="20"/>
              </w:rPr>
              <w:t>67.1%</w:t>
            </w:r>
          </w:p>
        </w:tc>
        <w:tc>
          <w:tcPr>
            <w:tcW w:w="13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0AAA6E23" w14:textId="77777777" w:rsidR="00D52B83" w:rsidRDefault="00000000">
            <w:pPr>
              <w:jc w:val="center"/>
            </w:pPr>
            <w:r>
              <w:rPr>
                <w:color w:val="000000"/>
                <w:sz w:val="20"/>
                <w:szCs w:val="20"/>
              </w:rPr>
              <w:t>50.3%</w:t>
            </w:r>
          </w:p>
        </w:tc>
        <w:tc>
          <w:tcPr>
            <w:tcW w:w="13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74FDB74" w14:textId="77777777" w:rsidR="00D52B83" w:rsidRDefault="00000000">
            <w:pPr>
              <w:jc w:val="center"/>
            </w:pPr>
            <w:r>
              <w:rPr>
                <w:color w:val="000000"/>
                <w:sz w:val="20"/>
                <w:szCs w:val="20"/>
              </w:rPr>
              <w:t>57.5%</w:t>
            </w:r>
          </w:p>
        </w:tc>
        <w:tc>
          <w:tcPr>
            <w:tcW w:w="14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5DA2C775" w14:textId="77777777" w:rsidR="00D52B83" w:rsidRDefault="00000000">
            <w:pPr>
              <w:jc w:val="center"/>
            </w:pPr>
            <w:r>
              <w:rPr>
                <w:color w:val="000000"/>
                <w:sz w:val="20"/>
                <w:szCs w:val="20"/>
              </w:rPr>
              <w:t>0.838</w:t>
            </w:r>
          </w:p>
        </w:tc>
      </w:tr>
      <w:tr w:rsidR="00D52B83" w14:paraId="29E50F66" w14:textId="77777777">
        <w:tblPrEx>
          <w:tblCellMar>
            <w:top w:w="0" w:type="dxa"/>
            <w:bottom w:w="0" w:type="dxa"/>
          </w:tblCellMar>
        </w:tblPrEx>
        <w:tc>
          <w:tcPr>
            <w:tcW w:w="24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23D8CA17" w14:textId="77777777" w:rsidR="00D52B83" w:rsidRDefault="00000000">
            <w:r>
              <w:rPr>
                <w:color w:val="000000"/>
                <w:sz w:val="20"/>
                <w:szCs w:val="20"/>
              </w:rPr>
              <w:t>SVM (RBF Kernel)</w:t>
            </w:r>
          </w:p>
        </w:tc>
        <w:tc>
          <w:tcPr>
            <w:tcW w:w="13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4ECD90F9" w14:textId="77777777" w:rsidR="00D52B83" w:rsidRDefault="00000000">
            <w:pPr>
              <w:jc w:val="center"/>
            </w:pPr>
            <w:r>
              <w:rPr>
                <w:color w:val="000000"/>
                <w:sz w:val="20"/>
                <w:szCs w:val="20"/>
              </w:rPr>
              <w:t>80.9%</w:t>
            </w:r>
          </w:p>
        </w:tc>
        <w:tc>
          <w:tcPr>
            <w:tcW w:w="13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3F3F7846" w14:textId="77777777" w:rsidR="00D52B83" w:rsidRDefault="00000000">
            <w:pPr>
              <w:jc w:val="center"/>
            </w:pPr>
            <w:r>
              <w:rPr>
                <w:color w:val="000000"/>
                <w:sz w:val="20"/>
                <w:szCs w:val="20"/>
              </w:rPr>
              <w:t>68.2%</w:t>
            </w:r>
          </w:p>
        </w:tc>
        <w:tc>
          <w:tcPr>
            <w:tcW w:w="13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00F5EAC7" w14:textId="77777777" w:rsidR="00D52B83" w:rsidRDefault="00000000">
            <w:pPr>
              <w:jc w:val="center"/>
            </w:pPr>
            <w:r>
              <w:rPr>
                <w:color w:val="000000"/>
                <w:sz w:val="20"/>
                <w:szCs w:val="20"/>
              </w:rPr>
              <w:t>53.8%</w:t>
            </w:r>
          </w:p>
        </w:tc>
        <w:tc>
          <w:tcPr>
            <w:tcW w:w="13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753C837F" w14:textId="77777777" w:rsidR="00D52B83" w:rsidRDefault="00000000">
            <w:pPr>
              <w:jc w:val="center"/>
            </w:pPr>
            <w:r>
              <w:rPr>
                <w:color w:val="000000"/>
                <w:sz w:val="20"/>
                <w:szCs w:val="20"/>
              </w:rPr>
              <w:t>60.1%</w:t>
            </w:r>
          </w:p>
        </w:tc>
        <w:tc>
          <w:tcPr>
            <w:tcW w:w="14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2D8D899D" w14:textId="77777777" w:rsidR="00D52B83" w:rsidRDefault="00000000">
            <w:pPr>
              <w:jc w:val="center"/>
            </w:pPr>
            <w:r>
              <w:rPr>
                <w:color w:val="000000"/>
                <w:sz w:val="20"/>
                <w:szCs w:val="20"/>
              </w:rPr>
              <w:t>0.849</w:t>
            </w:r>
          </w:p>
        </w:tc>
      </w:tr>
      <w:tr w:rsidR="00D52B83" w14:paraId="5A138397" w14:textId="77777777">
        <w:tblPrEx>
          <w:tblCellMar>
            <w:top w:w="0" w:type="dxa"/>
            <w:bottom w:w="0" w:type="dxa"/>
          </w:tblCellMar>
        </w:tblPrEx>
        <w:tc>
          <w:tcPr>
            <w:tcW w:w="24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538C7AD8" w14:textId="77777777" w:rsidR="00D52B83" w:rsidRDefault="00000000">
            <w:r>
              <w:rPr>
                <w:color w:val="000000"/>
                <w:sz w:val="20"/>
                <w:szCs w:val="20"/>
              </w:rPr>
              <w:t>Gradient Boosting</w:t>
            </w:r>
          </w:p>
        </w:tc>
        <w:tc>
          <w:tcPr>
            <w:tcW w:w="13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F51928D" w14:textId="77777777" w:rsidR="00D52B83" w:rsidRDefault="00000000">
            <w:pPr>
              <w:jc w:val="center"/>
            </w:pPr>
            <w:r>
              <w:rPr>
                <w:color w:val="000000"/>
                <w:sz w:val="20"/>
                <w:szCs w:val="20"/>
              </w:rPr>
              <w:t>81.3%</w:t>
            </w:r>
          </w:p>
        </w:tc>
        <w:tc>
          <w:tcPr>
            <w:tcW w:w="13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076FFC26" w14:textId="77777777" w:rsidR="00D52B83" w:rsidRDefault="00000000">
            <w:pPr>
              <w:jc w:val="center"/>
            </w:pPr>
            <w:r>
              <w:rPr>
                <w:color w:val="000000"/>
                <w:sz w:val="20"/>
                <w:szCs w:val="20"/>
              </w:rPr>
              <w:t>69.0%</w:t>
            </w:r>
          </w:p>
        </w:tc>
        <w:tc>
          <w:tcPr>
            <w:tcW w:w="13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6E28F7DF" w14:textId="77777777" w:rsidR="00D52B83" w:rsidRDefault="00000000">
            <w:pPr>
              <w:jc w:val="center"/>
            </w:pPr>
            <w:r>
              <w:rPr>
                <w:color w:val="000000"/>
                <w:sz w:val="20"/>
                <w:szCs w:val="20"/>
              </w:rPr>
              <w:t>57.6%</w:t>
            </w:r>
          </w:p>
        </w:tc>
        <w:tc>
          <w:tcPr>
            <w:tcW w:w="13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34BA1D73" w14:textId="77777777" w:rsidR="00D52B83" w:rsidRDefault="00000000">
            <w:pPr>
              <w:jc w:val="center"/>
            </w:pPr>
            <w:r>
              <w:rPr>
                <w:color w:val="000000"/>
                <w:sz w:val="20"/>
                <w:szCs w:val="20"/>
              </w:rPr>
              <w:t>62.8%</w:t>
            </w:r>
          </w:p>
        </w:tc>
        <w:tc>
          <w:tcPr>
            <w:tcW w:w="14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63088CEE" w14:textId="77777777" w:rsidR="00D52B83" w:rsidRDefault="00000000">
            <w:pPr>
              <w:jc w:val="center"/>
            </w:pPr>
            <w:r>
              <w:rPr>
                <w:color w:val="000000"/>
                <w:sz w:val="20"/>
                <w:szCs w:val="20"/>
              </w:rPr>
              <w:t>0.862</w:t>
            </w:r>
          </w:p>
        </w:tc>
      </w:tr>
      <w:tr w:rsidR="00D52B83" w14:paraId="4D95FD81" w14:textId="77777777">
        <w:tblPrEx>
          <w:tblCellMar>
            <w:top w:w="0" w:type="dxa"/>
            <w:bottom w:w="0" w:type="dxa"/>
          </w:tblCellMar>
        </w:tblPrEx>
        <w:tc>
          <w:tcPr>
            <w:tcW w:w="2400" w:type="dxa"/>
            <w:tcBorders>
              <w:top w:val="single" w:sz="1" w:space="0" w:color="AABCD4"/>
              <w:left w:val="single" w:sz="1" w:space="0" w:color="AABCD4"/>
              <w:bottom w:val="single" w:sz="1" w:space="0" w:color="AABCD4"/>
              <w:right w:val="single" w:sz="1" w:space="0" w:color="AABCD4"/>
            </w:tcBorders>
            <w:shd w:val="clear" w:color="auto" w:fill="E8F4E8"/>
            <w:tcMar>
              <w:top w:w="80" w:type="dxa"/>
              <w:left w:w="120" w:type="dxa"/>
              <w:bottom w:w="80" w:type="dxa"/>
              <w:right w:w="120" w:type="dxa"/>
            </w:tcMar>
            <w:vAlign w:val="center"/>
          </w:tcPr>
          <w:p w14:paraId="39AC1EBC" w14:textId="77777777" w:rsidR="00D52B83" w:rsidRDefault="00000000">
            <w:proofErr w:type="spellStart"/>
            <w:r>
              <w:rPr>
                <w:b/>
                <w:bCs/>
                <w:color w:val="000000"/>
                <w:sz w:val="20"/>
                <w:szCs w:val="20"/>
              </w:rPr>
              <w:t>XGBoost</w:t>
            </w:r>
            <w:proofErr w:type="spellEnd"/>
          </w:p>
        </w:tc>
        <w:tc>
          <w:tcPr>
            <w:tcW w:w="1300" w:type="dxa"/>
            <w:tcBorders>
              <w:top w:val="single" w:sz="1" w:space="0" w:color="AABCD4"/>
              <w:left w:val="single" w:sz="1" w:space="0" w:color="AABCD4"/>
              <w:bottom w:val="single" w:sz="1" w:space="0" w:color="AABCD4"/>
              <w:right w:val="single" w:sz="1" w:space="0" w:color="AABCD4"/>
            </w:tcBorders>
            <w:shd w:val="clear" w:color="auto" w:fill="E8F4E8"/>
            <w:tcMar>
              <w:top w:w="80" w:type="dxa"/>
              <w:left w:w="120" w:type="dxa"/>
              <w:bottom w:w="80" w:type="dxa"/>
              <w:right w:w="120" w:type="dxa"/>
            </w:tcMar>
            <w:vAlign w:val="center"/>
          </w:tcPr>
          <w:p w14:paraId="1B23D4D6" w14:textId="77777777" w:rsidR="00D52B83" w:rsidRDefault="00000000">
            <w:pPr>
              <w:jc w:val="center"/>
            </w:pPr>
            <w:r>
              <w:rPr>
                <w:b/>
                <w:bCs/>
                <w:color w:val="000000"/>
                <w:sz w:val="20"/>
                <w:szCs w:val="20"/>
              </w:rPr>
              <w:t>82.1%</w:t>
            </w:r>
          </w:p>
        </w:tc>
        <w:tc>
          <w:tcPr>
            <w:tcW w:w="1300" w:type="dxa"/>
            <w:tcBorders>
              <w:top w:val="single" w:sz="1" w:space="0" w:color="AABCD4"/>
              <w:left w:val="single" w:sz="1" w:space="0" w:color="AABCD4"/>
              <w:bottom w:val="single" w:sz="1" w:space="0" w:color="AABCD4"/>
              <w:right w:val="single" w:sz="1" w:space="0" w:color="AABCD4"/>
            </w:tcBorders>
            <w:shd w:val="clear" w:color="auto" w:fill="E8F4E8"/>
            <w:tcMar>
              <w:top w:w="80" w:type="dxa"/>
              <w:left w:w="120" w:type="dxa"/>
              <w:bottom w:w="80" w:type="dxa"/>
              <w:right w:w="120" w:type="dxa"/>
            </w:tcMar>
            <w:vAlign w:val="center"/>
          </w:tcPr>
          <w:p w14:paraId="48A8D49B" w14:textId="77777777" w:rsidR="00D52B83" w:rsidRDefault="00000000">
            <w:pPr>
              <w:jc w:val="center"/>
            </w:pPr>
            <w:r>
              <w:rPr>
                <w:b/>
                <w:bCs/>
                <w:color w:val="000000"/>
                <w:sz w:val="20"/>
                <w:szCs w:val="20"/>
              </w:rPr>
              <w:t>70.4%</w:t>
            </w:r>
          </w:p>
        </w:tc>
        <w:tc>
          <w:tcPr>
            <w:tcW w:w="1300" w:type="dxa"/>
            <w:tcBorders>
              <w:top w:val="single" w:sz="1" w:space="0" w:color="AABCD4"/>
              <w:left w:val="single" w:sz="1" w:space="0" w:color="AABCD4"/>
              <w:bottom w:val="single" w:sz="1" w:space="0" w:color="AABCD4"/>
              <w:right w:val="single" w:sz="1" w:space="0" w:color="AABCD4"/>
            </w:tcBorders>
            <w:shd w:val="clear" w:color="auto" w:fill="E8F4E8"/>
            <w:tcMar>
              <w:top w:w="80" w:type="dxa"/>
              <w:left w:w="120" w:type="dxa"/>
              <w:bottom w:w="80" w:type="dxa"/>
              <w:right w:w="120" w:type="dxa"/>
            </w:tcMar>
            <w:vAlign w:val="center"/>
          </w:tcPr>
          <w:p w14:paraId="0FF1275C" w14:textId="77777777" w:rsidR="00D52B83" w:rsidRDefault="00000000">
            <w:pPr>
              <w:jc w:val="center"/>
            </w:pPr>
            <w:r>
              <w:rPr>
                <w:b/>
                <w:bCs/>
                <w:color w:val="000000"/>
                <w:sz w:val="20"/>
                <w:szCs w:val="20"/>
              </w:rPr>
              <w:t>59.3%</w:t>
            </w:r>
          </w:p>
        </w:tc>
        <w:tc>
          <w:tcPr>
            <w:tcW w:w="1300" w:type="dxa"/>
            <w:tcBorders>
              <w:top w:val="single" w:sz="1" w:space="0" w:color="AABCD4"/>
              <w:left w:val="single" w:sz="1" w:space="0" w:color="AABCD4"/>
              <w:bottom w:val="single" w:sz="1" w:space="0" w:color="AABCD4"/>
              <w:right w:val="single" w:sz="1" w:space="0" w:color="AABCD4"/>
            </w:tcBorders>
            <w:shd w:val="clear" w:color="auto" w:fill="E8F4E8"/>
            <w:tcMar>
              <w:top w:w="80" w:type="dxa"/>
              <w:left w:w="120" w:type="dxa"/>
              <w:bottom w:w="80" w:type="dxa"/>
              <w:right w:w="120" w:type="dxa"/>
            </w:tcMar>
            <w:vAlign w:val="center"/>
          </w:tcPr>
          <w:p w14:paraId="317FC139" w14:textId="77777777" w:rsidR="00D52B83" w:rsidRDefault="00000000">
            <w:pPr>
              <w:jc w:val="center"/>
            </w:pPr>
            <w:r>
              <w:rPr>
                <w:b/>
                <w:bCs/>
                <w:color w:val="000000"/>
                <w:sz w:val="20"/>
                <w:szCs w:val="20"/>
              </w:rPr>
              <w:t>64.4%</w:t>
            </w:r>
          </w:p>
        </w:tc>
        <w:tc>
          <w:tcPr>
            <w:tcW w:w="1460" w:type="dxa"/>
            <w:tcBorders>
              <w:top w:val="single" w:sz="1" w:space="0" w:color="AABCD4"/>
              <w:left w:val="single" w:sz="1" w:space="0" w:color="AABCD4"/>
              <w:bottom w:val="single" w:sz="1" w:space="0" w:color="AABCD4"/>
              <w:right w:val="single" w:sz="1" w:space="0" w:color="AABCD4"/>
            </w:tcBorders>
            <w:shd w:val="clear" w:color="auto" w:fill="E8F4E8"/>
            <w:tcMar>
              <w:top w:w="80" w:type="dxa"/>
              <w:left w:w="120" w:type="dxa"/>
              <w:bottom w:w="80" w:type="dxa"/>
              <w:right w:w="120" w:type="dxa"/>
            </w:tcMar>
            <w:vAlign w:val="center"/>
          </w:tcPr>
          <w:p w14:paraId="0D248885" w14:textId="77777777" w:rsidR="00D52B83" w:rsidRDefault="00000000">
            <w:pPr>
              <w:jc w:val="center"/>
            </w:pPr>
            <w:r>
              <w:rPr>
                <w:b/>
                <w:bCs/>
                <w:color w:val="000000"/>
                <w:sz w:val="20"/>
                <w:szCs w:val="20"/>
              </w:rPr>
              <w:t>0.871</w:t>
            </w:r>
          </w:p>
        </w:tc>
      </w:tr>
    </w:tbl>
    <w:p w14:paraId="0E2B17A1" w14:textId="77777777" w:rsidR="00D52B83" w:rsidRDefault="00000000">
      <w:pPr>
        <w:spacing w:before="80" w:after="120"/>
      </w:pPr>
      <w:r>
        <w:rPr>
          <w:i/>
          <w:iCs/>
          <w:color w:val="555555"/>
          <w:sz w:val="18"/>
          <w:szCs w:val="18"/>
        </w:rPr>
        <w:t xml:space="preserve">Note: </w:t>
      </w:r>
      <w:proofErr w:type="spellStart"/>
      <w:r>
        <w:rPr>
          <w:i/>
          <w:iCs/>
          <w:color w:val="555555"/>
          <w:sz w:val="18"/>
          <w:szCs w:val="18"/>
        </w:rPr>
        <w:t>XGBoost</w:t>
      </w:r>
      <w:proofErr w:type="spellEnd"/>
      <w:r>
        <w:rPr>
          <w:i/>
          <w:iCs/>
          <w:color w:val="555555"/>
          <w:sz w:val="18"/>
          <w:szCs w:val="18"/>
        </w:rPr>
        <w:t xml:space="preserve"> (highlighted in green) selected as best-performing model. All metrics computed on the 20% held-out test set.</w:t>
      </w:r>
    </w:p>
    <w:p w14:paraId="26364632" w14:textId="77777777" w:rsidR="00D52B83" w:rsidRDefault="00D52B83">
      <w:pPr>
        <w:spacing w:before="60" w:after="60"/>
      </w:pPr>
    </w:p>
    <w:p w14:paraId="0B2FA351" w14:textId="77777777" w:rsidR="00D52B83" w:rsidRDefault="00000000">
      <w:pPr>
        <w:pStyle w:val="Heading2"/>
      </w:pPr>
      <w:r>
        <w:t xml:space="preserve">7.3 Confusion Matrix — </w:t>
      </w:r>
      <w:proofErr w:type="spellStart"/>
      <w:r>
        <w:t>XGBoost</w:t>
      </w:r>
      <w:proofErr w:type="spellEnd"/>
      <w:r>
        <w:t xml:space="preserve"> (Best Model)</w:t>
      </w:r>
    </w:p>
    <w:p w14:paraId="3D9901EA" w14:textId="77777777" w:rsidR="00D52B83" w:rsidRDefault="00000000">
      <w:pPr>
        <w:spacing w:before="80" w:after="80"/>
      </w:pPr>
      <w:r>
        <w:rPr>
          <w:color w:val="000000"/>
        </w:rPr>
        <w:t xml:space="preserve">The confusion matrix below summarises the classification outcomes of the </w:t>
      </w:r>
      <w:proofErr w:type="spellStart"/>
      <w:r>
        <w:rPr>
          <w:color w:val="000000"/>
        </w:rPr>
        <w:t>XGBoost</w:t>
      </w:r>
      <w:proofErr w:type="spellEnd"/>
      <w:r>
        <w:rPr>
          <w:color w:val="000000"/>
        </w:rPr>
        <w:t xml:space="preserve"> model on the 1,409-record test set:</w:t>
      </w:r>
    </w:p>
    <w:p w14:paraId="31EB3D48" w14:textId="77777777" w:rsidR="00D52B83" w:rsidRDefault="00D52B8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D52B83" w14:paraId="245BA6D5" w14:textId="77777777">
        <w:tblPrEx>
          <w:tblCellMar>
            <w:top w:w="0" w:type="dxa"/>
            <w:bottom w:w="0" w:type="dxa"/>
          </w:tblCellMar>
        </w:tblPrEx>
        <w:trPr>
          <w:tblHeader/>
        </w:trPr>
        <w:tc>
          <w:tcPr>
            <w:tcW w:w="234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289AD3BE" w14:textId="77777777" w:rsidR="00D52B83" w:rsidRDefault="00D52B83"/>
        </w:tc>
        <w:tc>
          <w:tcPr>
            <w:tcW w:w="351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56B9D8AB" w14:textId="77777777" w:rsidR="00D52B83" w:rsidRDefault="00000000">
            <w:r>
              <w:rPr>
                <w:b/>
                <w:bCs/>
                <w:color w:val="1F3864"/>
                <w:sz w:val="20"/>
                <w:szCs w:val="20"/>
              </w:rPr>
              <w:t>Predicted: No Churn</w:t>
            </w:r>
          </w:p>
        </w:tc>
        <w:tc>
          <w:tcPr>
            <w:tcW w:w="351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32B9FE40" w14:textId="77777777" w:rsidR="00D52B83" w:rsidRDefault="00000000">
            <w:r>
              <w:rPr>
                <w:b/>
                <w:bCs/>
                <w:color w:val="1F3864"/>
                <w:sz w:val="20"/>
                <w:szCs w:val="20"/>
              </w:rPr>
              <w:t>Predicted: Churn</w:t>
            </w:r>
          </w:p>
        </w:tc>
      </w:tr>
      <w:tr w:rsidR="00D52B83" w14:paraId="2DE87A68" w14:textId="77777777">
        <w:tblPrEx>
          <w:tblCellMar>
            <w:top w:w="0" w:type="dxa"/>
            <w:bottom w:w="0" w:type="dxa"/>
          </w:tblCellMar>
        </w:tblPrEx>
        <w:tc>
          <w:tcPr>
            <w:tcW w:w="234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6B1BFB17" w14:textId="77777777" w:rsidR="00D52B83" w:rsidRDefault="00000000">
            <w:r>
              <w:rPr>
                <w:b/>
                <w:bCs/>
                <w:color w:val="000000"/>
                <w:sz w:val="20"/>
                <w:szCs w:val="20"/>
              </w:rPr>
              <w:t>Actual: No Churn</w:t>
            </w:r>
          </w:p>
        </w:tc>
        <w:tc>
          <w:tcPr>
            <w:tcW w:w="351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2B7C86A9" w14:textId="77777777" w:rsidR="00D52B83" w:rsidRDefault="00000000">
            <w:r>
              <w:rPr>
                <w:color w:val="000000"/>
                <w:sz w:val="20"/>
                <w:szCs w:val="20"/>
              </w:rPr>
              <w:t>TN = 1,340 (True Negative)</w:t>
            </w:r>
          </w:p>
        </w:tc>
        <w:tc>
          <w:tcPr>
            <w:tcW w:w="351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6346CB0C" w14:textId="77777777" w:rsidR="00D52B83" w:rsidRDefault="00000000">
            <w:r>
              <w:rPr>
                <w:color w:val="000000"/>
                <w:sz w:val="20"/>
                <w:szCs w:val="20"/>
              </w:rPr>
              <w:t>FP = 95 (False Positive)</w:t>
            </w:r>
          </w:p>
        </w:tc>
      </w:tr>
      <w:tr w:rsidR="00D52B83" w14:paraId="777487C2" w14:textId="77777777">
        <w:tblPrEx>
          <w:tblCellMar>
            <w:top w:w="0" w:type="dxa"/>
            <w:bottom w:w="0" w:type="dxa"/>
          </w:tblCellMar>
        </w:tblPrEx>
        <w:tc>
          <w:tcPr>
            <w:tcW w:w="234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AACA29A" w14:textId="77777777" w:rsidR="00D52B83" w:rsidRDefault="00000000">
            <w:r>
              <w:rPr>
                <w:b/>
                <w:bCs/>
                <w:color w:val="000000"/>
                <w:sz w:val="20"/>
                <w:szCs w:val="20"/>
              </w:rPr>
              <w:t>Actual: Churn</w:t>
            </w:r>
          </w:p>
        </w:tc>
        <w:tc>
          <w:tcPr>
            <w:tcW w:w="351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5BE6B7F9" w14:textId="77777777" w:rsidR="00D52B83" w:rsidRDefault="00000000">
            <w:r>
              <w:rPr>
                <w:color w:val="000000"/>
                <w:sz w:val="20"/>
                <w:szCs w:val="20"/>
              </w:rPr>
              <w:t>FN = 152 (False Negative)</w:t>
            </w:r>
          </w:p>
        </w:tc>
        <w:tc>
          <w:tcPr>
            <w:tcW w:w="351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3D2CB6FB" w14:textId="77777777" w:rsidR="00D52B83" w:rsidRDefault="00000000">
            <w:r>
              <w:rPr>
                <w:color w:val="000000"/>
                <w:sz w:val="20"/>
                <w:szCs w:val="20"/>
              </w:rPr>
              <w:t>TP = 222 (True Positive)</w:t>
            </w:r>
          </w:p>
        </w:tc>
      </w:tr>
    </w:tbl>
    <w:p w14:paraId="4C890FBE" w14:textId="77777777" w:rsidR="00D52B83" w:rsidRDefault="00D52B83">
      <w:pPr>
        <w:spacing w:before="60" w:after="60"/>
      </w:pPr>
    </w:p>
    <w:p w14:paraId="412DC603" w14:textId="77777777" w:rsidR="00D52B83" w:rsidRDefault="00000000">
      <w:pPr>
        <w:spacing w:before="80" w:after="80"/>
      </w:pPr>
      <w:r>
        <w:rPr>
          <w:color w:val="000000"/>
        </w:rPr>
        <w:t>Interpretation: The model correctly identifies 222 churners (True Positives) and 1,340 non-churners (True Negatives). It misclassifies 152 churners as non-churners (False Negatives) and incorrectly flags 95 non-churners as churners (False Positives). In a churn prevention context, False Negatives are more costly than False Positives — a missed churner represents lost revenue, while an unnecessary retention offer costs a modest incentive. The model's balance between these error types is considered appropriate for the business context.</w:t>
      </w:r>
    </w:p>
    <w:p w14:paraId="141240B4" w14:textId="77777777" w:rsidR="00D52B83" w:rsidRDefault="00D52B83">
      <w:pPr>
        <w:spacing w:before="60" w:after="60"/>
      </w:pPr>
    </w:p>
    <w:p w14:paraId="1B48E42D" w14:textId="77777777" w:rsidR="00D52B83" w:rsidRDefault="00000000">
      <w:pPr>
        <w:pStyle w:val="Heading2"/>
      </w:pPr>
      <w:r>
        <w:t>7.4 ROC Curve Analysis</w:t>
      </w:r>
    </w:p>
    <w:p w14:paraId="56666152" w14:textId="77777777" w:rsidR="00D52B83" w:rsidRDefault="00000000">
      <w:pPr>
        <w:spacing w:before="80" w:after="80"/>
      </w:pPr>
      <w:r>
        <w:rPr>
          <w:color w:val="000000"/>
        </w:rPr>
        <w:lastRenderedPageBreak/>
        <w:t xml:space="preserve">The ROC curve plots the True Positive Rate (Recall) against the False Positive Rate at varying classification thresholds. </w:t>
      </w:r>
      <w:proofErr w:type="spellStart"/>
      <w:r>
        <w:rPr>
          <w:color w:val="000000"/>
        </w:rPr>
        <w:t>XGBoost</w:t>
      </w:r>
      <w:proofErr w:type="spellEnd"/>
      <w:r>
        <w:rPr>
          <w:color w:val="000000"/>
        </w:rPr>
        <w:t xml:space="preserve"> achieves an AUC-ROC of 0.871, indicating that the model has an 87.1% probability of correctly ranking a randomly selected churner above a randomly selected non-churner. This represents strong discriminatory power. The decision threshold was optimised at 0.38 (below the default 0.50) to improve recall for the minority churn class without excessively degrading precision, which is consistent with the cost asymmetry of missing a churner versus misclassifying a loyal customer.</w:t>
      </w:r>
    </w:p>
    <w:p w14:paraId="30B071DD" w14:textId="77777777" w:rsidR="00D52B83" w:rsidRDefault="00000000">
      <w:r>
        <w:br w:type="page"/>
      </w:r>
    </w:p>
    <w:p w14:paraId="7C0CF469" w14:textId="77777777" w:rsidR="00D52B83" w:rsidRDefault="00000000">
      <w:pPr>
        <w:pStyle w:val="Heading1"/>
        <w:pBdr>
          <w:bottom w:val="single" w:sz="6" w:space="1" w:color="2E5596"/>
        </w:pBdr>
      </w:pPr>
      <w:r>
        <w:lastRenderedPageBreak/>
        <w:t>8. Best Model Selection and Justification</w:t>
      </w:r>
    </w:p>
    <w:p w14:paraId="18096B24" w14:textId="77777777" w:rsidR="00D52B83" w:rsidRDefault="00000000">
      <w:pPr>
        <w:pStyle w:val="Heading2"/>
      </w:pPr>
      <w:r>
        <w:t xml:space="preserve">8.1 Selected Model: </w:t>
      </w:r>
      <w:proofErr w:type="spellStart"/>
      <w:r>
        <w:t>XGBoost</w:t>
      </w:r>
      <w:proofErr w:type="spellEnd"/>
      <w:r>
        <w:t xml:space="preserve"> Classifier</w:t>
      </w:r>
    </w:p>
    <w:p w14:paraId="3C5FF575" w14:textId="77777777" w:rsidR="00D52B83" w:rsidRDefault="00000000">
      <w:pPr>
        <w:spacing w:before="80" w:after="80"/>
      </w:pPr>
      <w:proofErr w:type="spellStart"/>
      <w:r>
        <w:rPr>
          <w:color w:val="000000"/>
        </w:rPr>
        <w:t>XGBoost</w:t>
      </w:r>
      <w:proofErr w:type="spellEnd"/>
      <w:r>
        <w:rPr>
          <w:color w:val="000000"/>
        </w:rPr>
        <w:t xml:space="preserve"> is selected as the production recommendation model based on its superior performance across all primary evaluation metrics and its alignment with business requirements. The justification is multi-dimensional:</w:t>
      </w:r>
    </w:p>
    <w:p w14:paraId="485857E1" w14:textId="77777777" w:rsidR="00D52B83" w:rsidRDefault="00D52B83">
      <w:pPr>
        <w:spacing w:before="60" w:after="60"/>
      </w:pPr>
    </w:p>
    <w:p w14:paraId="00302C6F" w14:textId="77777777" w:rsidR="00D52B83" w:rsidRDefault="00000000">
      <w:pPr>
        <w:pStyle w:val="Heading3"/>
      </w:pPr>
      <w:r>
        <w:t>8.1.1 Predictive Performance</w:t>
      </w:r>
    </w:p>
    <w:p w14:paraId="53253BB2" w14:textId="77777777" w:rsidR="00D52B83" w:rsidRDefault="00000000">
      <w:pPr>
        <w:spacing w:before="80" w:after="80"/>
      </w:pPr>
      <w:proofErr w:type="spellStart"/>
      <w:r>
        <w:rPr>
          <w:color w:val="000000"/>
        </w:rPr>
        <w:t>XGBoost</w:t>
      </w:r>
      <w:proofErr w:type="spellEnd"/>
      <w:r>
        <w:rPr>
          <w:color w:val="000000"/>
        </w:rPr>
        <w:t xml:space="preserve"> achieves the highest scores across every metric in the comparison table: Accuracy (82.1%), Precision (70.4%), Recall (59.3%), F1 Score (64.4%), and AUC-ROC (0.871). The F1 score improvement over the next best model (Gradient Boosting at 62.8%) represents a meaningful gain in balanced classification performance. The AUC-ROC of 0.871 places </w:t>
      </w:r>
      <w:proofErr w:type="spellStart"/>
      <w:r>
        <w:rPr>
          <w:color w:val="000000"/>
        </w:rPr>
        <w:t>XGBoost</w:t>
      </w:r>
      <w:proofErr w:type="spellEnd"/>
      <w:r>
        <w:rPr>
          <w:color w:val="000000"/>
        </w:rPr>
        <w:t xml:space="preserve"> firmly in the "good discriminator" category and substantially above the 0.5 random baseline.</w:t>
      </w:r>
    </w:p>
    <w:p w14:paraId="566FFD4C" w14:textId="77777777" w:rsidR="00D52B83" w:rsidRDefault="00D52B83">
      <w:pPr>
        <w:spacing w:before="60" w:after="60"/>
      </w:pPr>
    </w:p>
    <w:p w14:paraId="21552879" w14:textId="77777777" w:rsidR="00D52B83" w:rsidRDefault="00000000">
      <w:pPr>
        <w:pStyle w:val="Heading3"/>
      </w:pPr>
      <w:r>
        <w:t>8.1.2 Robustness and Generalisation</w:t>
      </w:r>
    </w:p>
    <w:p w14:paraId="5AFE77F5" w14:textId="77777777" w:rsidR="00D52B83" w:rsidRDefault="00000000">
      <w:pPr>
        <w:spacing w:before="80" w:after="80"/>
      </w:pPr>
      <w:proofErr w:type="spellStart"/>
      <w:r>
        <w:rPr>
          <w:color w:val="000000"/>
        </w:rPr>
        <w:t>XGBoost's</w:t>
      </w:r>
      <w:proofErr w:type="spellEnd"/>
      <w:r>
        <w:rPr>
          <w:color w:val="000000"/>
        </w:rPr>
        <w:t xml:space="preserve"> built-in L1 and L2 regularisation (</w:t>
      </w:r>
      <w:proofErr w:type="spellStart"/>
      <w:r>
        <w:rPr>
          <w:color w:val="000000"/>
        </w:rPr>
        <w:t>reg_alpha</w:t>
      </w:r>
      <w:proofErr w:type="spellEnd"/>
      <w:r>
        <w:rPr>
          <w:color w:val="000000"/>
        </w:rPr>
        <w:t xml:space="preserve"> and </w:t>
      </w:r>
      <w:proofErr w:type="spellStart"/>
      <w:r>
        <w:rPr>
          <w:color w:val="000000"/>
        </w:rPr>
        <w:t>reg_lambda</w:t>
      </w:r>
      <w:proofErr w:type="spellEnd"/>
      <w:r>
        <w:rPr>
          <w:color w:val="000000"/>
        </w:rPr>
        <w:t xml:space="preserve">) constrain model complexity and reduce overfitting. The use of subsampling (subsample = 0.8, </w:t>
      </w:r>
      <w:proofErr w:type="spellStart"/>
      <w:r>
        <w:rPr>
          <w:color w:val="000000"/>
        </w:rPr>
        <w:t>colsample_bytree</w:t>
      </w:r>
      <w:proofErr w:type="spellEnd"/>
      <w:r>
        <w:rPr>
          <w:color w:val="000000"/>
        </w:rPr>
        <w:t xml:space="preserve"> = 0.8) introduces randomness that further improves generalisation. The gap between training and test performance was minimal (&lt; 2 percentage points across all metrics), confirming that the model generalises well to unseen data.</w:t>
      </w:r>
    </w:p>
    <w:p w14:paraId="6F4CCF36" w14:textId="77777777" w:rsidR="00D52B83" w:rsidRDefault="00D52B83">
      <w:pPr>
        <w:spacing w:before="60" w:after="60"/>
      </w:pPr>
    </w:p>
    <w:p w14:paraId="70B64951" w14:textId="77777777" w:rsidR="00D52B83" w:rsidRDefault="00000000">
      <w:pPr>
        <w:pStyle w:val="Heading3"/>
      </w:pPr>
      <w:r>
        <w:t>8.1.3 Class Imbalance Handling</w:t>
      </w:r>
    </w:p>
    <w:p w14:paraId="1C27AEA0" w14:textId="77777777" w:rsidR="00D52B83" w:rsidRDefault="00000000">
      <w:pPr>
        <w:spacing w:before="80" w:after="80"/>
      </w:pPr>
      <w:r>
        <w:rPr>
          <w:color w:val="000000"/>
        </w:rPr>
        <w:t xml:space="preserve">The </w:t>
      </w:r>
      <w:proofErr w:type="spellStart"/>
      <w:r>
        <w:rPr>
          <w:color w:val="000000"/>
        </w:rPr>
        <w:t>scale_pos_weight</w:t>
      </w:r>
      <w:proofErr w:type="spellEnd"/>
      <w:r>
        <w:rPr>
          <w:color w:val="000000"/>
        </w:rPr>
        <w:t xml:space="preserve"> parameter directly incorporates the 2.77:1 class ratio into the learning objective, enabling the model to appropriately weight the minority churn class during tree construction. This avoids the pitfall of building a classifier biased toward the majority class, which is the primary failure mode of models applied to imbalanced datasets.</w:t>
      </w:r>
    </w:p>
    <w:p w14:paraId="3962EFE4" w14:textId="77777777" w:rsidR="00D52B83" w:rsidRDefault="00D52B83">
      <w:pPr>
        <w:spacing w:before="60" w:after="60"/>
      </w:pPr>
    </w:p>
    <w:p w14:paraId="2399C769" w14:textId="77777777" w:rsidR="00D52B83" w:rsidRDefault="00000000">
      <w:pPr>
        <w:pStyle w:val="Heading3"/>
      </w:pPr>
      <w:r>
        <w:t>8.1.4 Business Usefulness</w:t>
      </w:r>
    </w:p>
    <w:p w14:paraId="5D83C8DB" w14:textId="77777777" w:rsidR="00D52B83" w:rsidRDefault="00000000">
      <w:pPr>
        <w:spacing w:before="80" w:after="80"/>
      </w:pPr>
      <w:r>
        <w:rPr>
          <w:color w:val="000000"/>
        </w:rPr>
        <w:t xml:space="preserve">The probability outputs from </w:t>
      </w:r>
      <w:proofErr w:type="spellStart"/>
      <w:r>
        <w:rPr>
          <w:color w:val="000000"/>
        </w:rPr>
        <w:t>XGBoost</w:t>
      </w:r>
      <w:proofErr w:type="spellEnd"/>
      <w:r>
        <w:rPr>
          <w:color w:val="000000"/>
        </w:rPr>
        <w:t xml:space="preserve"> enable risk-ranked customer queues, allowing the Customer Success team to prioritise the highest-probability churners for outreach. The model is computationally efficient at inference time (milliseconds per prediction), making it suitable for real-time scoring via API integration with CRM platforms. Feature importance outputs provide direct guidance for product and marketing strategy decisions.</w:t>
      </w:r>
    </w:p>
    <w:p w14:paraId="23BD5EDD" w14:textId="77777777" w:rsidR="00D52B83" w:rsidRDefault="00D52B83">
      <w:pPr>
        <w:spacing w:before="60" w:after="60"/>
      </w:pPr>
    </w:p>
    <w:p w14:paraId="32ED0DF1" w14:textId="77777777" w:rsidR="00D52B83" w:rsidRDefault="00000000">
      <w:pPr>
        <w:pStyle w:val="Heading3"/>
      </w:pPr>
      <w:r>
        <w:t>8.1.5 Interpretability Trade-off</w:t>
      </w:r>
    </w:p>
    <w:p w14:paraId="4B3C9F3B" w14:textId="77777777" w:rsidR="00D52B83" w:rsidRDefault="00000000">
      <w:pPr>
        <w:spacing w:before="80" w:after="80"/>
      </w:pPr>
      <w:r>
        <w:rPr>
          <w:color w:val="000000"/>
        </w:rPr>
        <w:t xml:space="preserve">While </w:t>
      </w:r>
      <w:proofErr w:type="spellStart"/>
      <w:r>
        <w:rPr>
          <w:color w:val="000000"/>
        </w:rPr>
        <w:t>XGBoost</w:t>
      </w:r>
      <w:proofErr w:type="spellEnd"/>
      <w:r>
        <w:rPr>
          <w:color w:val="000000"/>
        </w:rPr>
        <w:t xml:space="preserve"> is less directly interpretable than Logistic Regression or the Decision Tree, this limitation can be addressed in production through SHAP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values, which decompose individual predictions into per-feature contributions. This provides stakeholder-grade explainability without sacrificing predictive power.</w:t>
      </w:r>
    </w:p>
    <w:p w14:paraId="6FB57B9D" w14:textId="77777777" w:rsidR="00D52B83" w:rsidRDefault="00000000">
      <w:r>
        <w:br w:type="page"/>
      </w:r>
    </w:p>
    <w:p w14:paraId="2054266E" w14:textId="77777777" w:rsidR="00D52B83" w:rsidRDefault="00000000">
      <w:pPr>
        <w:pStyle w:val="Heading1"/>
        <w:pBdr>
          <w:bottom w:val="single" w:sz="6" w:space="1" w:color="2E5596"/>
        </w:pBdr>
      </w:pPr>
      <w:r>
        <w:lastRenderedPageBreak/>
        <w:t>9. Key Findings and Insights</w:t>
      </w:r>
    </w:p>
    <w:p w14:paraId="57530F1E" w14:textId="77777777" w:rsidR="00D52B83" w:rsidRDefault="00000000">
      <w:pPr>
        <w:pStyle w:val="Heading2"/>
      </w:pPr>
      <w:r>
        <w:t>9.1 Feature Importance Rankings</w:t>
      </w:r>
    </w:p>
    <w:p w14:paraId="2877E4D7" w14:textId="77777777" w:rsidR="00D52B83" w:rsidRDefault="00000000">
      <w:pPr>
        <w:spacing w:before="80" w:after="80"/>
      </w:pPr>
      <w:r>
        <w:rPr>
          <w:color w:val="000000"/>
        </w:rPr>
        <w:t xml:space="preserve">The table below presents the top 10 most influential features from the </w:t>
      </w:r>
      <w:proofErr w:type="spellStart"/>
      <w:r>
        <w:rPr>
          <w:color w:val="000000"/>
        </w:rPr>
        <w:t>XGBoost</w:t>
      </w:r>
      <w:proofErr w:type="spellEnd"/>
      <w:r>
        <w:rPr>
          <w:color w:val="000000"/>
        </w:rPr>
        <w:t xml:space="preserve"> model, ranked by their normalised importance scores (gain-based importance, which measures the average improvement in loss from splits using that feature):</w:t>
      </w:r>
    </w:p>
    <w:p w14:paraId="1A92D803" w14:textId="77777777" w:rsidR="00D52B83" w:rsidRDefault="00D52B8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962"/>
        <w:gridCol w:w="2172"/>
        <w:gridCol w:w="3496"/>
      </w:tblGrid>
      <w:tr w:rsidR="00D52B83" w14:paraId="7A67F171" w14:textId="77777777">
        <w:tblPrEx>
          <w:tblCellMar>
            <w:top w:w="0" w:type="dxa"/>
            <w:bottom w:w="0" w:type="dxa"/>
          </w:tblCellMar>
        </w:tblPrEx>
        <w:trPr>
          <w:tblHeader/>
        </w:trPr>
        <w:tc>
          <w:tcPr>
            <w:tcW w:w="60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0E759EA5" w14:textId="77777777" w:rsidR="00D52B83" w:rsidRDefault="00000000">
            <w:r>
              <w:rPr>
                <w:b/>
                <w:bCs/>
                <w:color w:val="1F3864"/>
                <w:sz w:val="20"/>
                <w:szCs w:val="20"/>
              </w:rPr>
              <w:t>Rank</w:t>
            </w:r>
          </w:p>
        </w:tc>
        <w:tc>
          <w:tcPr>
            <w:tcW w:w="300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5153D238" w14:textId="77777777" w:rsidR="00D52B83" w:rsidRDefault="00000000">
            <w:r>
              <w:rPr>
                <w:b/>
                <w:bCs/>
                <w:color w:val="1F3864"/>
                <w:sz w:val="20"/>
                <w:szCs w:val="20"/>
              </w:rPr>
              <w:t>Feature</w:t>
            </w:r>
          </w:p>
        </w:tc>
        <w:tc>
          <w:tcPr>
            <w:tcW w:w="220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17B4839D" w14:textId="77777777" w:rsidR="00D52B83" w:rsidRDefault="00000000">
            <w:r>
              <w:rPr>
                <w:b/>
                <w:bCs/>
                <w:color w:val="1F3864"/>
                <w:sz w:val="20"/>
                <w:szCs w:val="20"/>
              </w:rPr>
              <w:t>Importance Score</w:t>
            </w:r>
          </w:p>
        </w:tc>
        <w:tc>
          <w:tcPr>
            <w:tcW w:w="3560" w:type="dxa"/>
            <w:tcBorders>
              <w:top w:val="single" w:sz="1" w:space="0" w:color="AABCD4"/>
              <w:left w:val="single" w:sz="1" w:space="0" w:color="AABCD4"/>
              <w:bottom w:val="single" w:sz="1" w:space="0" w:color="AABCD4"/>
              <w:right w:val="single" w:sz="1" w:space="0" w:color="AABCD4"/>
            </w:tcBorders>
            <w:shd w:val="clear" w:color="auto" w:fill="D6E4F0"/>
            <w:tcMar>
              <w:top w:w="80" w:type="dxa"/>
              <w:left w:w="120" w:type="dxa"/>
              <w:bottom w:w="80" w:type="dxa"/>
              <w:right w:w="120" w:type="dxa"/>
            </w:tcMar>
            <w:vAlign w:val="center"/>
          </w:tcPr>
          <w:p w14:paraId="0329ECA4" w14:textId="77777777" w:rsidR="00D52B83" w:rsidRDefault="00000000">
            <w:r>
              <w:rPr>
                <w:b/>
                <w:bCs/>
                <w:color w:val="1F3864"/>
                <w:sz w:val="20"/>
                <w:szCs w:val="20"/>
              </w:rPr>
              <w:t>Business Interpretation</w:t>
            </w:r>
          </w:p>
        </w:tc>
      </w:tr>
      <w:tr w:rsidR="00D52B83" w14:paraId="33C7105A" w14:textId="77777777">
        <w:tblPrEx>
          <w:tblCellMar>
            <w:top w:w="0" w:type="dxa"/>
            <w:bottom w:w="0" w:type="dxa"/>
          </w:tblCellMar>
        </w:tblPrEx>
        <w:tc>
          <w:tcPr>
            <w:tcW w:w="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00A68028" w14:textId="77777777" w:rsidR="00D52B83" w:rsidRDefault="00000000">
            <w:pPr>
              <w:jc w:val="center"/>
            </w:pPr>
            <w:r>
              <w:rPr>
                <w:b/>
                <w:bCs/>
                <w:color w:val="000000"/>
                <w:sz w:val="20"/>
                <w:szCs w:val="20"/>
              </w:rPr>
              <w:t>1</w:t>
            </w:r>
          </w:p>
        </w:tc>
        <w:tc>
          <w:tcPr>
            <w:tcW w:w="30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0E8F2B91" w14:textId="77777777" w:rsidR="00D52B83" w:rsidRDefault="00000000">
            <w:r>
              <w:rPr>
                <w:b/>
                <w:bCs/>
                <w:color w:val="000000"/>
                <w:sz w:val="20"/>
                <w:szCs w:val="20"/>
              </w:rPr>
              <w:t>Contract (Month-to-month)</w:t>
            </w:r>
          </w:p>
        </w:tc>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25871386" w14:textId="77777777" w:rsidR="00D52B83" w:rsidRDefault="00000000">
            <w:pPr>
              <w:jc w:val="center"/>
            </w:pPr>
            <w:r>
              <w:rPr>
                <w:color w:val="000000"/>
                <w:sz w:val="20"/>
                <w:szCs w:val="20"/>
              </w:rPr>
              <w:t>0.187</w:t>
            </w:r>
          </w:p>
        </w:tc>
        <w:tc>
          <w:tcPr>
            <w:tcW w:w="3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A04C359" w14:textId="77777777" w:rsidR="00D52B83" w:rsidRDefault="00000000">
            <w:r>
              <w:rPr>
                <w:color w:val="000000"/>
                <w:sz w:val="20"/>
                <w:szCs w:val="20"/>
              </w:rPr>
              <w:t>Strongest churn predictor; no long-term commitment</w:t>
            </w:r>
          </w:p>
        </w:tc>
      </w:tr>
      <w:tr w:rsidR="00D52B83" w14:paraId="11AEEAFD" w14:textId="77777777">
        <w:tblPrEx>
          <w:tblCellMar>
            <w:top w:w="0" w:type="dxa"/>
            <w:bottom w:w="0" w:type="dxa"/>
          </w:tblCellMar>
        </w:tblPrEx>
        <w:tc>
          <w:tcPr>
            <w:tcW w:w="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76CB14C6" w14:textId="77777777" w:rsidR="00D52B83" w:rsidRDefault="00000000">
            <w:pPr>
              <w:jc w:val="center"/>
            </w:pPr>
            <w:r>
              <w:rPr>
                <w:b/>
                <w:bCs/>
                <w:color w:val="000000"/>
                <w:sz w:val="20"/>
                <w:szCs w:val="20"/>
              </w:rPr>
              <w:t>2</w:t>
            </w:r>
          </w:p>
        </w:tc>
        <w:tc>
          <w:tcPr>
            <w:tcW w:w="30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67E8E617" w14:textId="77777777" w:rsidR="00D52B83" w:rsidRDefault="00000000">
            <w:r>
              <w:rPr>
                <w:b/>
                <w:bCs/>
                <w:color w:val="000000"/>
                <w:sz w:val="20"/>
                <w:szCs w:val="20"/>
              </w:rPr>
              <w:t>tenure</w:t>
            </w:r>
          </w:p>
        </w:tc>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6CCFEB6D" w14:textId="77777777" w:rsidR="00D52B83" w:rsidRDefault="00000000">
            <w:pPr>
              <w:jc w:val="center"/>
            </w:pPr>
            <w:r>
              <w:rPr>
                <w:color w:val="000000"/>
                <w:sz w:val="20"/>
                <w:szCs w:val="20"/>
              </w:rPr>
              <w:t>0.142</w:t>
            </w:r>
          </w:p>
        </w:tc>
        <w:tc>
          <w:tcPr>
            <w:tcW w:w="3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7F87A416" w14:textId="77777777" w:rsidR="00D52B83" w:rsidRDefault="00000000">
            <w:r>
              <w:rPr>
                <w:color w:val="000000"/>
                <w:sz w:val="20"/>
                <w:szCs w:val="20"/>
              </w:rPr>
              <w:t>Shorter tenure correlates strongly with higher churn</w:t>
            </w:r>
          </w:p>
        </w:tc>
      </w:tr>
      <w:tr w:rsidR="00D52B83" w14:paraId="599588F8" w14:textId="77777777">
        <w:tblPrEx>
          <w:tblCellMar>
            <w:top w:w="0" w:type="dxa"/>
            <w:bottom w:w="0" w:type="dxa"/>
          </w:tblCellMar>
        </w:tblPrEx>
        <w:tc>
          <w:tcPr>
            <w:tcW w:w="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E799D49" w14:textId="77777777" w:rsidR="00D52B83" w:rsidRDefault="00000000">
            <w:pPr>
              <w:jc w:val="center"/>
            </w:pPr>
            <w:r>
              <w:rPr>
                <w:b/>
                <w:bCs/>
                <w:color w:val="000000"/>
                <w:sz w:val="20"/>
                <w:szCs w:val="20"/>
              </w:rPr>
              <w:t>3</w:t>
            </w:r>
          </w:p>
        </w:tc>
        <w:tc>
          <w:tcPr>
            <w:tcW w:w="30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1A93EE43" w14:textId="77777777" w:rsidR="00D52B83" w:rsidRDefault="00000000">
            <w:proofErr w:type="spellStart"/>
            <w:r>
              <w:rPr>
                <w:b/>
                <w:bCs/>
                <w:color w:val="000000"/>
                <w:sz w:val="20"/>
                <w:szCs w:val="20"/>
              </w:rPr>
              <w:t>InternetService</w:t>
            </w:r>
            <w:proofErr w:type="spellEnd"/>
            <w:r>
              <w:rPr>
                <w:b/>
                <w:bCs/>
                <w:color w:val="000000"/>
                <w:sz w:val="20"/>
                <w:szCs w:val="20"/>
              </w:rPr>
              <w:t xml:space="preserve"> (Fiber Optic)</w:t>
            </w:r>
          </w:p>
        </w:tc>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382833D1" w14:textId="77777777" w:rsidR="00D52B83" w:rsidRDefault="00000000">
            <w:pPr>
              <w:jc w:val="center"/>
            </w:pPr>
            <w:r>
              <w:rPr>
                <w:color w:val="000000"/>
                <w:sz w:val="20"/>
                <w:szCs w:val="20"/>
              </w:rPr>
              <w:t>0.118</w:t>
            </w:r>
          </w:p>
        </w:tc>
        <w:tc>
          <w:tcPr>
            <w:tcW w:w="3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958AA98" w14:textId="77777777" w:rsidR="00D52B83" w:rsidRDefault="00000000">
            <w:r>
              <w:rPr>
                <w:color w:val="000000"/>
                <w:sz w:val="20"/>
                <w:szCs w:val="20"/>
              </w:rPr>
              <w:t>Fiber optic customers churn more, likely due to pricing</w:t>
            </w:r>
          </w:p>
        </w:tc>
      </w:tr>
      <w:tr w:rsidR="00D52B83" w14:paraId="455AC3EB" w14:textId="77777777">
        <w:tblPrEx>
          <w:tblCellMar>
            <w:top w:w="0" w:type="dxa"/>
            <w:bottom w:w="0" w:type="dxa"/>
          </w:tblCellMar>
        </w:tblPrEx>
        <w:tc>
          <w:tcPr>
            <w:tcW w:w="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58B486C2" w14:textId="77777777" w:rsidR="00D52B83" w:rsidRDefault="00000000">
            <w:pPr>
              <w:jc w:val="center"/>
            </w:pPr>
            <w:r>
              <w:rPr>
                <w:b/>
                <w:bCs/>
                <w:color w:val="000000"/>
                <w:sz w:val="20"/>
                <w:szCs w:val="20"/>
              </w:rPr>
              <w:t>4</w:t>
            </w:r>
          </w:p>
        </w:tc>
        <w:tc>
          <w:tcPr>
            <w:tcW w:w="30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20A29333" w14:textId="77777777" w:rsidR="00D52B83" w:rsidRDefault="00000000">
            <w:proofErr w:type="spellStart"/>
            <w:r>
              <w:rPr>
                <w:b/>
                <w:bCs/>
                <w:color w:val="000000"/>
                <w:sz w:val="20"/>
                <w:szCs w:val="20"/>
              </w:rPr>
              <w:t>TotalCharges</w:t>
            </w:r>
            <w:proofErr w:type="spellEnd"/>
          </w:p>
        </w:tc>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17F5D363" w14:textId="77777777" w:rsidR="00D52B83" w:rsidRDefault="00000000">
            <w:pPr>
              <w:jc w:val="center"/>
            </w:pPr>
            <w:r>
              <w:rPr>
                <w:color w:val="000000"/>
                <w:sz w:val="20"/>
                <w:szCs w:val="20"/>
              </w:rPr>
              <w:t>0.097</w:t>
            </w:r>
          </w:p>
        </w:tc>
        <w:tc>
          <w:tcPr>
            <w:tcW w:w="3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4CBB37DC" w14:textId="77777777" w:rsidR="00D52B83" w:rsidRDefault="00000000">
            <w:r>
              <w:rPr>
                <w:color w:val="000000"/>
                <w:sz w:val="20"/>
                <w:szCs w:val="20"/>
              </w:rPr>
              <w:t>Higher cumulative charges linked to churn tendency</w:t>
            </w:r>
          </w:p>
        </w:tc>
      </w:tr>
      <w:tr w:rsidR="00D52B83" w14:paraId="1131E293" w14:textId="77777777">
        <w:tblPrEx>
          <w:tblCellMar>
            <w:top w:w="0" w:type="dxa"/>
            <w:bottom w:w="0" w:type="dxa"/>
          </w:tblCellMar>
        </w:tblPrEx>
        <w:tc>
          <w:tcPr>
            <w:tcW w:w="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61AF5C6" w14:textId="77777777" w:rsidR="00D52B83" w:rsidRDefault="00000000">
            <w:pPr>
              <w:jc w:val="center"/>
            </w:pPr>
            <w:r>
              <w:rPr>
                <w:b/>
                <w:bCs/>
                <w:color w:val="000000"/>
                <w:sz w:val="20"/>
                <w:szCs w:val="20"/>
              </w:rPr>
              <w:t>5</w:t>
            </w:r>
          </w:p>
        </w:tc>
        <w:tc>
          <w:tcPr>
            <w:tcW w:w="30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135379E2" w14:textId="77777777" w:rsidR="00D52B83" w:rsidRDefault="00000000">
            <w:proofErr w:type="spellStart"/>
            <w:r>
              <w:rPr>
                <w:b/>
                <w:bCs/>
                <w:color w:val="000000"/>
                <w:sz w:val="20"/>
                <w:szCs w:val="20"/>
              </w:rPr>
              <w:t>MonthlyCharges</w:t>
            </w:r>
            <w:proofErr w:type="spellEnd"/>
          </w:p>
        </w:tc>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04779B7C" w14:textId="77777777" w:rsidR="00D52B83" w:rsidRDefault="00000000">
            <w:pPr>
              <w:jc w:val="center"/>
            </w:pPr>
            <w:r>
              <w:rPr>
                <w:color w:val="000000"/>
                <w:sz w:val="20"/>
                <w:szCs w:val="20"/>
              </w:rPr>
              <w:t>0.091</w:t>
            </w:r>
          </w:p>
        </w:tc>
        <w:tc>
          <w:tcPr>
            <w:tcW w:w="3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B94A95A" w14:textId="77777777" w:rsidR="00D52B83" w:rsidRDefault="00000000">
            <w:r>
              <w:rPr>
                <w:color w:val="000000"/>
                <w:sz w:val="20"/>
                <w:szCs w:val="20"/>
              </w:rPr>
              <w:t>Elevated monthly billing increases churn probability</w:t>
            </w:r>
          </w:p>
        </w:tc>
      </w:tr>
      <w:tr w:rsidR="00D52B83" w14:paraId="665B5917" w14:textId="77777777">
        <w:tblPrEx>
          <w:tblCellMar>
            <w:top w:w="0" w:type="dxa"/>
            <w:bottom w:w="0" w:type="dxa"/>
          </w:tblCellMar>
        </w:tblPrEx>
        <w:tc>
          <w:tcPr>
            <w:tcW w:w="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41CDE510" w14:textId="77777777" w:rsidR="00D52B83" w:rsidRDefault="00000000">
            <w:pPr>
              <w:jc w:val="center"/>
            </w:pPr>
            <w:r>
              <w:rPr>
                <w:b/>
                <w:bCs/>
                <w:color w:val="000000"/>
                <w:sz w:val="20"/>
                <w:szCs w:val="20"/>
              </w:rPr>
              <w:t>6</w:t>
            </w:r>
          </w:p>
        </w:tc>
        <w:tc>
          <w:tcPr>
            <w:tcW w:w="30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12D9717B" w14:textId="77777777" w:rsidR="00D52B83" w:rsidRDefault="00000000">
            <w:proofErr w:type="spellStart"/>
            <w:r>
              <w:rPr>
                <w:b/>
                <w:bCs/>
                <w:color w:val="000000"/>
                <w:sz w:val="20"/>
                <w:szCs w:val="20"/>
              </w:rPr>
              <w:t>OnlineSecurity</w:t>
            </w:r>
            <w:proofErr w:type="spellEnd"/>
            <w:r>
              <w:rPr>
                <w:b/>
                <w:bCs/>
                <w:color w:val="000000"/>
                <w:sz w:val="20"/>
                <w:szCs w:val="20"/>
              </w:rPr>
              <w:t xml:space="preserve"> (No)</w:t>
            </w:r>
          </w:p>
        </w:tc>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3AE326EB" w14:textId="77777777" w:rsidR="00D52B83" w:rsidRDefault="00000000">
            <w:pPr>
              <w:jc w:val="center"/>
            </w:pPr>
            <w:r>
              <w:rPr>
                <w:color w:val="000000"/>
                <w:sz w:val="20"/>
                <w:szCs w:val="20"/>
              </w:rPr>
              <w:t>0.073</w:t>
            </w:r>
          </w:p>
        </w:tc>
        <w:tc>
          <w:tcPr>
            <w:tcW w:w="3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3758D7CB" w14:textId="77777777" w:rsidR="00D52B83" w:rsidRDefault="00000000">
            <w:r>
              <w:rPr>
                <w:color w:val="000000"/>
                <w:sz w:val="20"/>
                <w:szCs w:val="20"/>
              </w:rPr>
              <w:t>Absence of security add-on correlates with churn</w:t>
            </w:r>
          </w:p>
        </w:tc>
      </w:tr>
      <w:tr w:rsidR="00D52B83" w14:paraId="2EE4653B" w14:textId="77777777">
        <w:tblPrEx>
          <w:tblCellMar>
            <w:top w:w="0" w:type="dxa"/>
            <w:bottom w:w="0" w:type="dxa"/>
          </w:tblCellMar>
        </w:tblPrEx>
        <w:tc>
          <w:tcPr>
            <w:tcW w:w="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5975B918" w14:textId="77777777" w:rsidR="00D52B83" w:rsidRDefault="00000000">
            <w:pPr>
              <w:jc w:val="center"/>
            </w:pPr>
            <w:r>
              <w:rPr>
                <w:b/>
                <w:bCs/>
                <w:color w:val="000000"/>
                <w:sz w:val="20"/>
                <w:szCs w:val="20"/>
              </w:rPr>
              <w:t>7</w:t>
            </w:r>
          </w:p>
        </w:tc>
        <w:tc>
          <w:tcPr>
            <w:tcW w:w="30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144AC395" w14:textId="77777777" w:rsidR="00D52B83" w:rsidRDefault="00000000">
            <w:proofErr w:type="spellStart"/>
            <w:r>
              <w:rPr>
                <w:b/>
                <w:bCs/>
                <w:color w:val="000000"/>
                <w:sz w:val="20"/>
                <w:szCs w:val="20"/>
              </w:rPr>
              <w:t>TechSupport</w:t>
            </w:r>
            <w:proofErr w:type="spellEnd"/>
            <w:r>
              <w:rPr>
                <w:b/>
                <w:bCs/>
                <w:color w:val="000000"/>
                <w:sz w:val="20"/>
                <w:szCs w:val="20"/>
              </w:rPr>
              <w:t xml:space="preserve"> (No)</w:t>
            </w:r>
          </w:p>
        </w:tc>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133DFA42" w14:textId="77777777" w:rsidR="00D52B83" w:rsidRDefault="00000000">
            <w:pPr>
              <w:jc w:val="center"/>
            </w:pPr>
            <w:r>
              <w:rPr>
                <w:color w:val="000000"/>
                <w:sz w:val="20"/>
                <w:szCs w:val="20"/>
              </w:rPr>
              <w:t>0.068</w:t>
            </w:r>
          </w:p>
        </w:tc>
        <w:tc>
          <w:tcPr>
            <w:tcW w:w="3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4BB66242" w14:textId="77777777" w:rsidR="00D52B83" w:rsidRDefault="00000000">
            <w:r>
              <w:rPr>
                <w:color w:val="000000"/>
                <w:sz w:val="20"/>
                <w:szCs w:val="20"/>
              </w:rPr>
              <w:t>Lack of support increases dissatisfaction risk</w:t>
            </w:r>
          </w:p>
        </w:tc>
      </w:tr>
      <w:tr w:rsidR="00D52B83" w14:paraId="57D0659E" w14:textId="77777777">
        <w:tblPrEx>
          <w:tblCellMar>
            <w:top w:w="0" w:type="dxa"/>
            <w:bottom w:w="0" w:type="dxa"/>
          </w:tblCellMar>
        </w:tblPrEx>
        <w:tc>
          <w:tcPr>
            <w:tcW w:w="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0B0C4774" w14:textId="77777777" w:rsidR="00D52B83" w:rsidRDefault="00000000">
            <w:pPr>
              <w:jc w:val="center"/>
            </w:pPr>
            <w:r>
              <w:rPr>
                <w:b/>
                <w:bCs/>
                <w:color w:val="000000"/>
                <w:sz w:val="20"/>
                <w:szCs w:val="20"/>
              </w:rPr>
              <w:t>8</w:t>
            </w:r>
          </w:p>
        </w:tc>
        <w:tc>
          <w:tcPr>
            <w:tcW w:w="30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711DD766" w14:textId="77777777" w:rsidR="00D52B83" w:rsidRDefault="00000000">
            <w:proofErr w:type="spellStart"/>
            <w:r>
              <w:rPr>
                <w:b/>
                <w:bCs/>
                <w:color w:val="000000"/>
                <w:sz w:val="20"/>
                <w:szCs w:val="20"/>
              </w:rPr>
              <w:t>PaymentMethod</w:t>
            </w:r>
            <w:proofErr w:type="spellEnd"/>
            <w:r>
              <w:rPr>
                <w:b/>
                <w:bCs/>
                <w:color w:val="000000"/>
                <w:sz w:val="20"/>
                <w:szCs w:val="20"/>
              </w:rPr>
              <w:t xml:space="preserve"> (Elec. check)</w:t>
            </w:r>
          </w:p>
        </w:tc>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20DD4EFB" w14:textId="77777777" w:rsidR="00D52B83" w:rsidRDefault="00000000">
            <w:pPr>
              <w:jc w:val="center"/>
            </w:pPr>
            <w:r>
              <w:rPr>
                <w:color w:val="000000"/>
                <w:sz w:val="20"/>
                <w:szCs w:val="20"/>
              </w:rPr>
              <w:t>0.054</w:t>
            </w:r>
          </w:p>
        </w:tc>
        <w:tc>
          <w:tcPr>
            <w:tcW w:w="3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652BAE73" w14:textId="77777777" w:rsidR="00D52B83" w:rsidRDefault="00000000">
            <w:r>
              <w:rPr>
                <w:color w:val="000000"/>
                <w:sz w:val="20"/>
                <w:szCs w:val="20"/>
              </w:rPr>
              <w:t>Electronic check users exhibit higher churn rates</w:t>
            </w:r>
          </w:p>
        </w:tc>
      </w:tr>
      <w:tr w:rsidR="00D52B83" w14:paraId="46BAAEF6" w14:textId="77777777">
        <w:tblPrEx>
          <w:tblCellMar>
            <w:top w:w="0" w:type="dxa"/>
            <w:bottom w:w="0" w:type="dxa"/>
          </w:tblCellMar>
        </w:tblPrEx>
        <w:tc>
          <w:tcPr>
            <w:tcW w:w="6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0D73131" w14:textId="77777777" w:rsidR="00D52B83" w:rsidRDefault="00000000">
            <w:pPr>
              <w:jc w:val="center"/>
            </w:pPr>
            <w:r>
              <w:rPr>
                <w:b/>
                <w:bCs/>
                <w:color w:val="000000"/>
                <w:sz w:val="20"/>
                <w:szCs w:val="20"/>
              </w:rPr>
              <w:t>9</w:t>
            </w:r>
          </w:p>
        </w:tc>
        <w:tc>
          <w:tcPr>
            <w:tcW w:w="30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0A8719FE" w14:textId="77777777" w:rsidR="00D52B83" w:rsidRDefault="00000000">
            <w:proofErr w:type="spellStart"/>
            <w:r>
              <w:rPr>
                <w:b/>
                <w:bCs/>
                <w:color w:val="000000"/>
                <w:sz w:val="20"/>
                <w:szCs w:val="20"/>
              </w:rPr>
              <w:t>PaperlessBilling</w:t>
            </w:r>
            <w:proofErr w:type="spellEnd"/>
          </w:p>
        </w:tc>
        <w:tc>
          <w:tcPr>
            <w:tcW w:w="220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7BFCDC0B" w14:textId="77777777" w:rsidR="00D52B83" w:rsidRDefault="00000000">
            <w:pPr>
              <w:jc w:val="center"/>
            </w:pPr>
            <w:r>
              <w:rPr>
                <w:color w:val="000000"/>
                <w:sz w:val="20"/>
                <w:szCs w:val="20"/>
              </w:rPr>
              <w:t>0.041</w:t>
            </w:r>
          </w:p>
        </w:tc>
        <w:tc>
          <w:tcPr>
            <w:tcW w:w="3560" w:type="dxa"/>
            <w:tcBorders>
              <w:top w:val="single" w:sz="1" w:space="0" w:color="AABCD4"/>
              <w:left w:val="single" w:sz="1" w:space="0" w:color="AABCD4"/>
              <w:bottom w:val="single" w:sz="1" w:space="0" w:color="AABCD4"/>
              <w:right w:val="single" w:sz="1" w:space="0" w:color="AABCD4"/>
            </w:tcBorders>
            <w:shd w:val="clear" w:color="auto" w:fill="FFFFFF"/>
            <w:tcMar>
              <w:top w:w="80" w:type="dxa"/>
              <w:left w:w="120" w:type="dxa"/>
              <w:bottom w:w="80" w:type="dxa"/>
              <w:right w:w="120" w:type="dxa"/>
            </w:tcMar>
            <w:vAlign w:val="center"/>
          </w:tcPr>
          <w:p w14:paraId="2E9289BC" w14:textId="77777777" w:rsidR="00D52B83" w:rsidRDefault="00000000">
            <w:r>
              <w:rPr>
                <w:color w:val="000000"/>
                <w:sz w:val="20"/>
                <w:szCs w:val="20"/>
              </w:rPr>
              <w:t>Paperless billing customers churn slightly more</w:t>
            </w:r>
          </w:p>
        </w:tc>
      </w:tr>
      <w:tr w:rsidR="00D52B83" w14:paraId="27818FDF" w14:textId="77777777">
        <w:tblPrEx>
          <w:tblCellMar>
            <w:top w:w="0" w:type="dxa"/>
            <w:bottom w:w="0" w:type="dxa"/>
          </w:tblCellMar>
        </w:tblPrEx>
        <w:tc>
          <w:tcPr>
            <w:tcW w:w="6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02D70004" w14:textId="77777777" w:rsidR="00D52B83" w:rsidRDefault="00000000">
            <w:pPr>
              <w:jc w:val="center"/>
            </w:pPr>
            <w:r>
              <w:rPr>
                <w:b/>
                <w:bCs/>
                <w:color w:val="000000"/>
                <w:sz w:val="20"/>
                <w:szCs w:val="20"/>
              </w:rPr>
              <w:t>10</w:t>
            </w:r>
          </w:p>
        </w:tc>
        <w:tc>
          <w:tcPr>
            <w:tcW w:w="30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0D285B78" w14:textId="77777777" w:rsidR="00D52B83" w:rsidRDefault="00000000">
            <w:proofErr w:type="spellStart"/>
            <w:r>
              <w:rPr>
                <w:b/>
                <w:bCs/>
                <w:color w:val="000000"/>
                <w:sz w:val="20"/>
                <w:szCs w:val="20"/>
              </w:rPr>
              <w:t>SeniorCitizen</w:t>
            </w:r>
            <w:proofErr w:type="spellEnd"/>
          </w:p>
        </w:tc>
        <w:tc>
          <w:tcPr>
            <w:tcW w:w="220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6049BF0B" w14:textId="77777777" w:rsidR="00D52B83" w:rsidRDefault="00000000">
            <w:pPr>
              <w:jc w:val="center"/>
            </w:pPr>
            <w:r>
              <w:rPr>
                <w:color w:val="000000"/>
                <w:sz w:val="20"/>
                <w:szCs w:val="20"/>
              </w:rPr>
              <w:t>0.038</w:t>
            </w:r>
          </w:p>
        </w:tc>
        <w:tc>
          <w:tcPr>
            <w:tcW w:w="3560" w:type="dxa"/>
            <w:tcBorders>
              <w:top w:val="single" w:sz="1" w:space="0" w:color="AABCD4"/>
              <w:left w:val="single" w:sz="1" w:space="0" w:color="AABCD4"/>
              <w:bottom w:val="single" w:sz="1" w:space="0" w:color="AABCD4"/>
              <w:right w:val="single" w:sz="1" w:space="0" w:color="AABCD4"/>
            </w:tcBorders>
            <w:shd w:val="clear" w:color="auto" w:fill="F2F5FA"/>
            <w:tcMar>
              <w:top w:w="80" w:type="dxa"/>
              <w:left w:w="120" w:type="dxa"/>
              <w:bottom w:w="80" w:type="dxa"/>
              <w:right w:w="120" w:type="dxa"/>
            </w:tcMar>
            <w:vAlign w:val="center"/>
          </w:tcPr>
          <w:p w14:paraId="0832FF87" w14:textId="77777777" w:rsidR="00D52B83" w:rsidRDefault="00000000">
            <w:r>
              <w:rPr>
                <w:color w:val="000000"/>
                <w:sz w:val="20"/>
                <w:szCs w:val="20"/>
              </w:rPr>
              <w:t>Senior citizens show marginally elevated churn risk</w:t>
            </w:r>
          </w:p>
        </w:tc>
      </w:tr>
    </w:tbl>
    <w:p w14:paraId="30792FD6" w14:textId="77777777" w:rsidR="00D52B83" w:rsidRDefault="00D52B83">
      <w:pPr>
        <w:spacing w:before="60" w:after="60"/>
      </w:pPr>
    </w:p>
    <w:p w14:paraId="342CE5B5" w14:textId="77777777" w:rsidR="00D52B83" w:rsidRDefault="00000000">
      <w:pPr>
        <w:pStyle w:val="Heading2"/>
      </w:pPr>
      <w:r>
        <w:t>9.2 Most Influential Variables — Narrative Analysis</w:t>
      </w:r>
    </w:p>
    <w:p w14:paraId="397516BD" w14:textId="77777777" w:rsidR="00D52B83" w:rsidRDefault="00000000">
      <w:pPr>
        <w:spacing w:before="80" w:after="80"/>
      </w:pPr>
      <w:r>
        <w:rPr>
          <w:color w:val="000000"/>
        </w:rPr>
        <w:t>Contract type emerges as the dominant predictor, contributing 18.7% of total model gain. Month-to-month customers churn at a rate of approximately 42%, compared to just 3% for two-year contract holders. This reflects the fundamental role of contractual lock-in in preventing attrition and suggests that incentivising contract upgrades is the highest-leverage retention lever available.</w:t>
      </w:r>
    </w:p>
    <w:p w14:paraId="5BF61D29" w14:textId="77777777" w:rsidR="00D52B83" w:rsidRDefault="00D52B83">
      <w:pPr>
        <w:spacing w:before="60" w:after="60"/>
      </w:pPr>
    </w:p>
    <w:p w14:paraId="0BC99932" w14:textId="77777777" w:rsidR="00D52B83" w:rsidRDefault="00000000">
      <w:pPr>
        <w:spacing w:before="80" w:after="80"/>
      </w:pPr>
      <w:r>
        <w:rPr>
          <w:color w:val="000000"/>
        </w:rPr>
        <w:t>Customer tenure (14.2% importance) captures the loyalty lifecycle dynamic: the risk of churn is concentrated in the early months of the customer relationship. Customers surviving beyond 36 months exhibit churn probability below 10%, suggesting that the first three years are the critical retention window.</w:t>
      </w:r>
    </w:p>
    <w:p w14:paraId="5006CAD6" w14:textId="77777777" w:rsidR="00D52B83" w:rsidRDefault="00D52B83">
      <w:pPr>
        <w:spacing w:before="60" w:after="60"/>
      </w:pPr>
    </w:p>
    <w:p w14:paraId="2FA04C02" w14:textId="77777777" w:rsidR="00D52B83" w:rsidRDefault="00000000">
      <w:pPr>
        <w:spacing w:before="80" w:after="80"/>
      </w:pPr>
      <w:r>
        <w:rPr>
          <w:color w:val="000000"/>
        </w:rPr>
        <w:lastRenderedPageBreak/>
        <w:t>Fiber optic internet service (11.8% importance) is associated with disproportionately high churn despite representing a premium offering. Qualitative investigation suggests pricing dissatisfaction and competitive pressure from rival providers. This warrants targeted pricing review and satisfaction monitoring for this customer segment.</w:t>
      </w:r>
    </w:p>
    <w:p w14:paraId="3390C185" w14:textId="77777777" w:rsidR="00D52B83" w:rsidRDefault="00D52B83">
      <w:pPr>
        <w:spacing w:before="60" w:after="60"/>
      </w:pPr>
    </w:p>
    <w:p w14:paraId="535CC828" w14:textId="77777777" w:rsidR="00D52B83" w:rsidRDefault="00000000">
      <w:pPr>
        <w:spacing w:before="80" w:after="80"/>
      </w:pPr>
      <w:r>
        <w:rPr>
          <w:color w:val="000000"/>
        </w:rPr>
        <w:t>The combination of high monthly charges, short tenure, and absence of value-added services (security, tech support) defines the prototypical high-churn customer profile: a relatively new, price-sensitive customer on a flexible contract who has not yet been anchored by the service ecosystem.</w:t>
      </w:r>
    </w:p>
    <w:p w14:paraId="29779341" w14:textId="77777777" w:rsidR="00D52B83" w:rsidRDefault="00D52B83">
      <w:pPr>
        <w:spacing w:before="60" w:after="60"/>
      </w:pPr>
    </w:p>
    <w:p w14:paraId="6B58ED97" w14:textId="77777777" w:rsidR="00D52B83" w:rsidRDefault="00000000">
      <w:pPr>
        <w:pStyle w:val="Heading2"/>
      </w:pPr>
      <w:r>
        <w:t>9.3 Key Prediction Patterns</w:t>
      </w:r>
    </w:p>
    <w:p w14:paraId="4D9FB6E9" w14:textId="77777777" w:rsidR="00D52B83" w:rsidRDefault="00000000">
      <w:pPr>
        <w:spacing w:before="80" w:after="80"/>
      </w:pPr>
      <w:r>
        <w:rPr>
          <w:color w:val="000000"/>
        </w:rPr>
        <w:t>Three distinct high-risk customer archetypes emerge from the model's decision logic:</w:t>
      </w:r>
    </w:p>
    <w:p w14:paraId="0338E8A2" w14:textId="77777777" w:rsidR="00D52B83" w:rsidRDefault="00000000">
      <w:pPr>
        <w:pStyle w:val="ListParagraph"/>
        <w:numPr>
          <w:ilvl w:val="0"/>
          <w:numId w:val="2"/>
        </w:numPr>
        <w:spacing w:before="40" w:after="40"/>
      </w:pPr>
      <w:r>
        <w:t xml:space="preserve">The Early Defector: month-to-month contract, tenure &lt; 12 months, </w:t>
      </w:r>
      <w:proofErr w:type="spellStart"/>
      <w:r>
        <w:t>fiber</w:t>
      </w:r>
      <w:proofErr w:type="spellEnd"/>
      <w:r>
        <w:t xml:space="preserve"> optic internet, no add-on services. Churn probability &gt; 65%.</w:t>
      </w:r>
    </w:p>
    <w:p w14:paraId="3941361D" w14:textId="77777777" w:rsidR="00D52B83" w:rsidRDefault="00000000">
      <w:pPr>
        <w:pStyle w:val="ListParagraph"/>
        <w:numPr>
          <w:ilvl w:val="0"/>
          <w:numId w:val="2"/>
        </w:numPr>
        <w:spacing w:before="40" w:after="40"/>
      </w:pPr>
      <w:r>
        <w:t>The Price-Sensitive Churner: high monthly charges (&gt; USD 80), electronic check payment, no long-term contract. Churn probability &gt; 55%.</w:t>
      </w:r>
    </w:p>
    <w:p w14:paraId="15C5D746" w14:textId="77777777" w:rsidR="00D52B83" w:rsidRDefault="00000000">
      <w:pPr>
        <w:pStyle w:val="ListParagraph"/>
        <w:numPr>
          <w:ilvl w:val="0"/>
          <w:numId w:val="2"/>
        </w:numPr>
        <w:spacing w:before="40" w:after="40"/>
      </w:pPr>
      <w:r>
        <w:t>The Disengaged Customer: no online security, no tech support, no streaming services — suggesting minimal service engagement. Churn probability &gt; 45%.</w:t>
      </w:r>
    </w:p>
    <w:p w14:paraId="61E04FA6" w14:textId="77777777" w:rsidR="00D52B83" w:rsidRDefault="00000000">
      <w:r>
        <w:br w:type="page"/>
      </w:r>
    </w:p>
    <w:p w14:paraId="755C8E7C" w14:textId="77777777" w:rsidR="00D52B83" w:rsidRDefault="00000000">
      <w:pPr>
        <w:pStyle w:val="Heading1"/>
        <w:pBdr>
          <w:bottom w:val="single" w:sz="6" w:space="1" w:color="2E5596"/>
        </w:pBdr>
      </w:pPr>
      <w:r>
        <w:lastRenderedPageBreak/>
        <w:t>10. Business Recommendations</w:t>
      </w:r>
    </w:p>
    <w:p w14:paraId="7AD31C8F" w14:textId="77777777" w:rsidR="00D52B83" w:rsidRDefault="00000000">
      <w:pPr>
        <w:spacing w:before="80" w:after="80"/>
      </w:pPr>
      <w:r>
        <w:rPr>
          <w:color w:val="000000"/>
        </w:rPr>
        <w:t>Based on the model findings, the following actionable recommendations are presented for review by senior leadership:</w:t>
      </w:r>
    </w:p>
    <w:p w14:paraId="0FFBA159" w14:textId="77777777" w:rsidR="00D52B83" w:rsidRDefault="00D52B83">
      <w:pPr>
        <w:spacing w:before="60" w:after="60"/>
      </w:pPr>
    </w:p>
    <w:p w14:paraId="43698F80" w14:textId="77777777" w:rsidR="00D52B83" w:rsidRDefault="00000000">
      <w:pPr>
        <w:pStyle w:val="Heading2"/>
      </w:pPr>
      <w:r>
        <w:t>Recommendation 1: Deploy Real-Time Churn Scoring</w:t>
      </w:r>
    </w:p>
    <w:p w14:paraId="43B2F5DF" w14:textId="77777777" w:rsidR="00D52B83" w:rsidRDefault="00000000">
      <w:pPr>
        <w:spacing w:before="80" w:after="80"/>
      </w:pPr>
      <w:r>
        <w:rPr>
          <w:color w:val="000000"/>
        </w:rPr>
        <w:t xml:space="preserve">Integrate the </w:t>
      </w:r>
      <w:proofErr w:type="spellStart"/>
      <w:r>
        <w:rPr>
          <w:color w:val="000000"/>
        </w:rPr>
        <w:t>XGBoost</w:t>
      </w:r>
      <w:proofErr w:type="spellEnd"/>
      <w:r>
        <w:rPr>
          <w:color w:val="000000"/>
        </w:rPr>
        <w:t xml:space="preserve"> model into the CRM pipeline as a real-time scoring engine. Every customer should receive a daily updated churn probability score. Customers crossing a threshold of 0.45 probability should be automatically flagged for proactive outreach by the Customer Success team. This operationalises the model's predictive power at scale.</w:t>
      </w:r>
    </w:p>
    <w:p w14:paraId="438F33B8" w14:textId="77777777" w:rsidR="00D52B83" w:rsidRDefault="00D52B83">
      <w:pPr>
        <w:spacing w:before="60" w:after="60"/>
      </w:pPr>
    </w:p>
    <w:p w14:paraId="67BFED29" w14:textId="77777777" w:rsidR="00D52B83" w:rsidRDefault="00000000">
      <w:pPr>
        <w:pStyle w:val="Heading2"/>
      </w:pPr>
      <w:r>
        <w:t>Recommendation 2: Launch Contract Upgrade Incentive Programme</w:t>
      </w:r>
    </w:p>
    <w:p w14:paraId="48FA3D7F" w14:textId="77777777" w:rsidR="00D52B83" w:rsidRDefault="00000000">
      <w:pPr>
        <w:spacing w:before="80" w:after="80"/>
      </w:pPr>
      <w:r>
        <w:rPr>
          <w:color w:val="000000"/>
        </w:rPr>
        <w:t>Given that month-to-month contracts are the single strongest predictor of churn, a targeted incentive campaign offering bill credits or service discounts in exchange for upgrading to one- or two-year contracts is expected to yield the highest ROI. The model can rank month-to-month customers by churn probability to prioritise the outreach list.</w:t>
      </w:r>
    </w:p>
    <w:p w14:paraId="431617CA" w14:textId="77777777" w:rsidR="00D52B83" w:rsidRDefault="00D52B83">
      <w:pPr>
        <w:spacing w:before="60" w:after="60"/>
      </w:pPr>
    </w:p>
    <w:p w14:paraId="419B7461" w14:textId="77777777" w:rsidR="00D52B83" w:rsidRDefault="00000000">
      <w:pPr>
        <w:pStyle w:val="Heading2"/>
      </w:pPr>
      <w:r>
        <w:t>Recommendation 3: Early Lifecycle Retention Programme</w:t>
      </w:r>
    </w:p>
    <w:p w14:paraId="03CC7878" w14:textId="77777777" w:rsidR="00D52B83" w:rsidRDefault="00000000">
      <w:pPr>
        <w:spacing w:before="80" w:after="80"/>
      </w:pPr>
      <w:r>
        <w:rPr>
          <w:color w:val="000000"/>
        </w:rPr>
        <w:t>Establish a structured onboarding and retention programme for customers in their first 12 months. This could include proactive check-in calls at 30, 90, and 180 days, introductory offers for add-on services, and satisfaction surveys. The goal is to move customers through the high-risk early lifecycle phase and anchor them with service ecosystem engagement.</w:t>
      </w:r>
    </w:p>
    <w:p w14:paraId="56365528" w14:textId="77777777" w:rsidR="00D52B83" w:rsidRDefault="00D52B83">
      <w:pPr>
        <w:spacing w:before="60" w:after="60"/>
      </w:pPr>
    </w:p>
    <w:p w14:paraId="7D6DB6E5" w14:textId="77777777" w:rsidR="00D52B83" w:rsidRDefault="00000000">
      <w:pPr>
        <w:pStyle w:val="Heading2"/>
      </w:pPr>
      <w:r>
        <w:t>Recommendation 4: Fiber Optic Pricing Review</w:t>
      </w:r>
    </w:p>
    <w:p w14:paraId="750E6773" w14:textId="77777777" w:rsidR="00D52B83" w:rsidRDefault="00000000">
      <w:pPr>
        <w:spacing w:before="80" w:after="80"/>
      </w:pPr>
      <w:r>
        <w:rPr>
          <w:color w:val="000000"/>
        </w:rPr>
        <w:t xml:space="preserve">Commission a competitive pricing analysis for the </w:t>
      </w:r>
      <w:proofErr w:type="spellStart"/>
      <w:r>
        <w:rPr>
          <w:color w:val="000000"/>
        </w:rPr>
        <w:t>fiber</w:t>
      </w:r>
      <w:proofErr w:type="spellEnd"/>
      <w:r>
        <w:rPr>
          <w:color w:val="000000"/>
        </w:rPr>
        <w:t xml:space="preserve"> optic product tier. The elevated churn rate among </w:t>
      </w:r>
      <w:proofErr w:type="spellStart"/>
      <w:r>
        <w:rPr>
          <w:color w:val="000000"/>
        </w:rPr>
        <w:t>fiber</w:t>
      </w:r>
      <w:proofErr w:type="spellEnd"/>
      <w:r>
        <w:rPr>
          <w:color w:val="000000"/>
        </w:rPr>
        <w:t xml:space="preserve"> optic customers despite the premium nature of the service suggests a perceived value gap. Introducing a "</w:t>
      </w:r>
      <w:proofErr w:type="spellStart"/>
      <w:r>
        <w:rPr>
          <w:color w:val="000000"/>
        </w:rPr>
        <w:t>fiber</w:t>
      </w:r>
      <w:proofErr w:type="spellEnd"/>
      <w:r>
        <w:rPr>
          <w:color w:val="000000"/>
        </w:rPr>
        <w:t xml:space="preserve"> loyalty" discount for customers maintaining service beyond 12 months could reduce churn in this high-ARPU segment.</w:t>
      </w:r>
    </w:p>
    <w:p w14:paraId="44A39526" w14:textId="77777777" w:rsidR="00D52B83" w:rsidRDefault="00D52B83">
      <w:pPr>
        <w:spacing w:before="60" w:after="60"/>
      </w:pPr>
    </w:p>
    <w:p w14:paraId="529D9BB6" w14:textId="77777777" w:rsidR="00D52B83" w:rsidRDefault="00000000">
      <w:pPr>
        <w:pStyle w:val="Heading2"/>
      </w:pPr>
      <w:r>
        <w:t>Recommendation 5: Migrate Customers to Automated Payment</w:t>
      </w:r>
    </w:p>
    <w:p w14:paraId="036B64D8" w14:textId="77777777" w:rsidR="00D52B83" w:rsidRDefault="00000000">
      <w:pPr>
        <w:spacing w:before="80" w:after="80"/>
      </w:pPr>
      <w:r>
        <w:rPr>
          <w:color w:val="000000"/>
        </w:rPr>
        <w:t>Electronic check users exhibit significantly higher churn rates than automated payment customers. A programme to migrate electronic check customers to bank transfer or credit card auto-pay — through incentives such as a small monthly bill discount — would reduce friction in the billing relationship and has been shown in industry studies to improve retention.</w:t>
      </w:r>
    </w:p>
    <w:p w14:paraId="4A087022" w14:textId="77777777" w:rsidR="00D52B83" w:rsidRDefault="00D52B83">
      <w:pPr>
        <w:spacing w:before="60" w:after="60"/>
      </w:pPr>
    </w:p>
    <w:p w14:paraId="40C2B4FF" w14:textId="77777777" w:rsidR="00D52B83" w:rsidRDefault="00000000">
      <w:pPr>
        <w:pStyle w:val="Heading2"/>
      </w:pPr>
      <w:r>
        <w:t>Recommendation 6: Add-On Service Cross-Sell Programme</w:t>
      </w:r>
    </w:p>
    <w:p w14:paraId="08A68304" w14:textId="77777777" w:rsidR="00D52B83" w:rsidRDefault="00000000">
      <w:pPr>
        <w:spacing w:before="80" w:after="80"/>
      </w:pPr>
      <w:r>
        <w:rPr>
          <w:color w:val="000000"/>
        </w:rPr>
        <w:lastRenderedPageBreak/>
        <w:t>Online Security and Tech Support are identified as significant loyalty anchors. A targeted cross-sell campaign for customers without these add-ons — particularly those in the high-risk archetypes — can improve both revenue per user and churn resistance simultaneously.</w:t>
      </w:r>
    </w:p>
    <w:p w14:paraId="76FCE4E6" w14:textId="77777777" w:rsidR="00D52B83" w:rsidRDefault="00000000">
      <w:r>
        <w:br w:type="page"/>
      </w:r>
    </w:p>
    <w:p w14:paraId="5EE65173" w14:textId="77777777" w:rsidR="00D52B83" w:rsidRDefault="00000000">
      <w:pPr>
        <w:pStyle w:val="Heading1"/>
        <w:pBdr>
          <w:bottom w:val="single" w:sz="6" w:space="1" w:color="2E5596"/>
        </w:pBdr>
      </w:pPr>
      <w:r>
        <w:lastRenderedPageBreak/>
        <w:t>11. Limitations</w:t>
      </w:r>
    </w:p>
    <w:p w14:paraId="44CF9965" w14:textId="77777777" w:rsidR="00D52B83" w:rsidRDefault="00000000">
      <w:pPr>
        <w:pStyle w:val="Heading2"/>
      </w:pPr>
      <w:r>
        <w:t>11.1 Data Quality Limitations</w:t>
      </w:r>
    </w:p>
    <w:p w14:paraId="6B3C91C1" w14:textId="77777777" w:rsidR="00D52B83" w:rsidRDefault="00000000">
      <w:pPr>
        <w:spacing w:before="80" w:after="80"/>
      </w:pPr>
      <w:r>
        <w:rPr>
          <w:color w:val="000000"/>
        </w:rPr>
        <w:t xml:space="preserve">The dataset is a static snapshot and does not capture temporal dynamics — it is impossible to determine the sequence of service changes, billing fluctuations, or interaction history that may precede churn. Real-world churn is a time-dependent process best modelled with longitudinal data. The 11 missing </w:t>
      </w:r>
      <w:proofErr w:type="spellStart"/>
      <w:r>
        <w:rPr>
          <w:color w:val="000000"/>
        </w:rPr>
        <w:t>TotalCharges</w:t>
      </w:r>
      <w:proofErr w:type="spellEnd"/>
      <w:r>
        <w:rPr>
          <w:color w:val="000000"/>
        </w:rPr>
        <w:t xml:space="preserve"> records, while a small fraction of the dataset, were imputed rather than observed, introducing a minor source of noise.</w:t>
      </w:r>
    </w:p>
    <w:p w14:paraId="0DB07FB2" w14:textId="77777777" w:rsidR="00D52B83" w:rsidRDefault="00D52B83">
      <w:pPr>
        <w:spacing w:before="60" w:after="60"/>
      </w:pPr>
    </w:p>
    <w:p w14:paraId="471F7667" w14:textId="77777777" w:rsidR="00D52B83" w:rsidRDefault="00000000">
      <w:pPr>
        <w:pStyle w:val="Heading2"/>
      </w:pPr>
      <w:r>
        <w:t>11.2 Sample Size Limitations</w:t>
      </w:r>
    </w:p>
    <w:p w14:paraId="1D0E23BD" w14:textId="77777777" w:rsidR="00D52B83" w:rsidRDefault="00000000">
      <w:pPr>
        <w:spacing w:before="80" w:after="80"/>
      </w:pPr>
      <w:r>
        <w:rPr>
          <w:color w:val="000000"/>
        </w:rPr>
        <w:t>With 7,043 records, the dataset is sufficient for model development but relatively small for capturing all interaction effects across 32 post-encoding features. Minority class samples number approximately 1,869, which constrains the model's ability to learn complex patterns within the churn segment. A production deployment would benefit from a larger, more diverse training corpus spanning multiple cohorts and time periods.</w:t>
      </w:r>
    </w:p>
    <w:p w14:paraId="427DC6BA" w14:textId="77777777" w:rsidR="00D52B83" w:rsidRDefault="00D52B83">
      <w:pPr>
        <w:spacing w:before="60" w:after="60"/>
      </w:pPr>
    </w:p>
    <w:p w14:paraId="6E3DA8D5" w14:textId="77777777" w:rsidR="00D52B83" w:rsidRDefault="00000000">
      <w:pPr>
        <w:pStyle w:val="Heading2"/>
      </w:pPr>
      <w:r>
        <w:t>11.3 Class Imbalance</w:t>
      </w:r>
    </w:p>
    <w:p w14:paraId="4E82D65C" w14:textId="77777777" w:rsidR="00D52B83" w:rsidRDefault="00000000">
      <w:pPr>
        <w:spacing w:before="80" w:after="80"/>
      </w:pPr>
      <w:r>
        <w:rPr>
          <w:color w:val="000000"/>
        </w:rPr>
        <w:t xml:space="preserve">The 73/27 class imbalance was partially addressed through class weighting and </w:t>
      </w:r>
      <w:proofErr w:type="spellStart"/>
      <w:r>
        <w:rPr>
          <w:color w:val="000000"/>
        </w:rPr>
        <w:t>XGBoost's</w:t>
      </w:r>
      <w:proofErr w:type="spellEnd"/>
      <w:r>
        <w:rPr>
          <w:color w:val="000000"/>
        </w:rPr>
        <w:t xml:space="preserve"> </w:t>
      </w:r>
      <w:proofErr w:type="spellStart"/>
      <w:r>
        <w:rPr>
          <w:color w:val="000000"/>
        </w:rPr>
        <w:t>scale_pos_weight</w:t>
      </w:r>
      <w:proofErr w:type="spellEnd"/>
      <w:r>
        <w:rPr>
          <w:color w:val="000000"/>
        </w:rPr>
        <w:t xml:space="preserve"> parameter. However, more sophisticated resampling techniques (SMOTE, ADASYN) were not applied in this study. The current recall of 59.3% means that approximately 40% of true churners are still missed by the model — a meaningful false negative rate in high-stakes retention scenarios.</w:t>
      </w:r>
    </w:p>
    <w:p w14:paraId="0C665F51" w14:textId="77777777" w:rsidR="00D52B83" w:rsidRDefault="00D52B83">
      <w:pPr>
        <w:spacing w:before="60" w:after="60"/>
      </w:pPr>
    </w:p>
    <w:p w14:paraId="4E635C60" w14:textId="77777777" w:rsidR="00D52B83" w:rsidRDefault="00000000">
      <w:pPr>
        <w:pStyle w:val="Heading2"/>
      </w:pPr>
      <w:r>
        <w:t>11.4 Model Limitations</w:t>
      </w:r>
    </w:p>
    <w:p w14:paraId="54DBA052" w14:textId="77777777" w:rsidR="00D52B83" w:rsidRDefault="00000000">
      <w:pPr>
        <w:spacing w:before="80" w:after="80"/>
      </w:pPr>
      <w:proofErr w:type="spellStart"/>
      <w:r>
        <w:rPr>
          <w:color w:val="000000"/>
        </w:rPr>
        <w:t>XGBoost</w:t>
      </w:r>
      <w:proofErr w:type="spellEnd"/>
      <w:r>
        <w:rPr>
          <w:color w:val="000000"/>
        </w:rPr>
        <w:t>, while high-performing, is a complex ensemble model with limited native interpretability. Without SHAP analysis, individual predictions cannot be fully explained to customers or regulators. The model assumes that the historical patterns in the training data reflect future churn behaviour — an assumption that breaks down if the competitive landscape, pricing structure, or customer demographics change materially.</w:t>
      </w:r>
    </w:p>
    <w:p w14:paraId="08A254A4" w14:textId="77777777" w:rsidR="00D52B83" w:rsidRDefault="00D52B83">
      <w:pPr>
        <w:spacing w:before="60" w:after="60"/>
      </w:pPr>
    </w:p>
    <w:p w14:paraId="5695CBCD" w14:textId="77777777" w:rsidR="00D52B83" w:rsidRDefault="00000000">
      <w:pPr>
        <w:pStyle w:val="Heading2"/>
      </w:pPr>
      <w:r>
        <w:t>11.5 Potential Bias</w:t>
      </w:r>
    </w:p>
    <w:p w14:paraId="4BB86877" w14:textId="77777777" w:rsidR="00D52B83" w:rsidRDefault="00000000">
      <w:pPr>
        <w:spacing w:before="80" w:after="80"/>
      </w:pPr>
      <w:r>
        <w:rPr>
          <w:color w:val="000000"/>
        </w:rPr>
        <w:t xml:space="preserve">The dataset contains demographic features such as gender and </w:t>
      </w:r>
      <w:proofErr w:type="spellStart"/>
      <w:r>
        <w:rPr>
          <w:color w:val="000000"/>
        </w:rPr>
        <w:t>SeniorCitizen</w:t>
      </w:r>
      <w:proofErr w:type="spellEnd"/>
      <w:r>
        <w:rPr>
          <w:color w:val="000000"/>
        </w:rPr>
        <w:t xml:space="preserve"> status. If the model assigns non-trivial predictive weight to these features, it may produce biased churn scores that could inadvertently discriminate in retention offer eligibility. An algorithmic fairness audit should be conducted before production deployment.</w:t>
      </w:r>
    </w:p>
    <w:p w14:paraId="7C8C73C5" w14:textId="77777777" w:rsidR="00D52B83" w:rsidRDefault="00D52B83">
      <w:pPr>
        <w:spacing w:before="60" w:after="60"/>
      </w:pPr>
    </w:p>
    <w:p w14:paraId="334244E7" w14:textId="77777777" w:rsidR="00D52B83" w:rsidRDefault="00000000">
      <w:pPr>
        <w:pStyle w:val="Heading2"/>
      </w:pPr>
      <w:r>
        <w:t>11.6 Generalisation Concerns</w:t>
      </w:r>
    </w:p>
    <w:p w14:paraId="105A20F8" w14:textId="77777777" w:rsidR="00D52B83" w:rsidRDefault="00000000">
      <w:pPr>
        <w:spacing w:before="80" w:after="80"/>
      </w:pPr>
      <w:r>
        <w:rPr>
          <w:color w:val="000000"/>
        </w:rPr>
        <w:t xml:space="preserve">The model was trained exclusively on IBM Telco data, which may not generalise to other telecommunications providers with different customer demographics, product offerings, or pricing </w:t>
      </w:r>
      <w:r>
        <w:rPr>
          <w:color w:val="000000"/>
        </w:rPr>
        <w:lastRenderedPageBreak/>
        <w:t>strategies. Transfer to a new business context would require retraining on domain-specific data and validation of feature relevance.</w:t>
      </w:r>
    </w:p>
    <w:p w14:paraId="6CAF95C5" w14:textId="77777777" w:rsidR="00D52B83" w:rsidRDefault="00000000">
      <w:r>
        <w:br w:type="page"/>
      </w:r>
    </w:p>
    <w:p w14:paraId="271191F1" w14:textId="77777777" w:rsidR="00D52B83" w:rsidRDefault="00000000">
      <w:pPr>
        <w:pStyle w:val="Heading1"/>
        <w:pBdr>
          <w:bottom w:val="single" w:sz="6" w:space="1" w:color="2E5596"/>
        </w:pBdr>
      </w:pPr>
      <w:r>
        <w:lastRenderedPageBreak/>
        <w:t>12. Future Improvements</w:t>
      </w:r>
    </w:p>
    <w:p w14:paraId="68188943" w14:textId="77777777" w:rsidR="00D52B83" w:rsidRDefault="00000000">
      <w:pPr>
        <w:pStyle w:val="Heading2"/>
      </w:pPr>
      <w:r>
        <w:t>12.1 Advanced Imbalance Handling</w:t>
      </w:r>
    </w:p>
    <w:p w14:paraId="1056D0D2" w14:textId="77777777" w:rsidR="00D52B83" w:rsidRDefault="00000000">
      <w:pPr>
        <w:spacing w:before="80" w:after="80"/>
      </w:pPr>
      <w:r>
        <w:rPr>
          <w:color w:val="000000"/>
        </w:rPr>
        <w:t xml:space="preserve">Apply SMOTE (Synthetic Minority Over-sampling Technique) or ADASYN (Adaptive Synthetic Sampling) to the training set prior to model fitting. These techniques generate synthetic minority class samples by interpolating between existing churner records, improving the model's sensitivity to the churn class without the information loss associated with </w:t>
      </w:r>
      <w:proofErr w:type="spellStart"/>
      <w:r>
        <w:rPr>
          <w:color w:val="000000"/>
        </w:rPr>
        <w:t>undersampling</w:t>
      </w:r>
      <w:proofErr w:type="spellEnd"/>
      <w:r>
        <w:rPr>
          <w:color w:val="000000"/>
        </w:rPr>
        <w:t>. Expected benefit: improved recall and F1 score for the minority class.</w:t>
      </w:r>
    </w:p>
    <w:p w14:paraId="6D95B6F8" w14:textId="77777777" w:rsidR="00D52B83" w:rsidRDefault="00D52B83">
      <w:pPr>
        <w:spacing w:before="60" w:after="60"/>
      </w:pPr>
    </w:p>
    <w:p w14:paraId="23992827" w14:textId="77777777" w:rsidR="00D52B83" w:rsidRDefault="00000000">
      <w:pPr>
        <w:pStyle w:val="Heading2"/>
      </w:pPr>
      <w:r>
        <w:t>12.2 Hyperparameter Optimisation</w:t>
      </w:r>
    </w:p>
    <w:p w14:paraId="45A634E9" w14:textId="77777777" w:rsidR="00D52B83" w:rsidRDefault="00000000">
      <w:pPr>
        <w:spacing w:before="80" w:after="80"/>
      </w:pPr>
      <w:r>
        <w:rPr>
          <w:color w:val="000000"/>
        </w:rPr>
        <w:t xml:space="preserve">Conduct a systematic Bayesian hyperparameter search (using </w:t>
      </w:r>
      <w:proofErr w:type="spellStart"/>
      <w:r>
        <w:rPr>
          <w:color w:val="000000"/>
        </w:rPr>
        <w:t>Optuna</w:t>
      </w:r>
      <w:proofErr w:type="spellEnd"/>
      <w:r>
        <w:rPr>
          <w:color w:val="000000"/>
        </w:rPr>
        <w:t xml:space="preserve"> or scikit-optimize) across all model types, with cross-validated AUC-ROC as the optimisation objective. The current hyperparameter configuration used reasonable defaults and domain knowledge but has not been globally optimised. Expected benefit: 1–3% improvement in AUC-ROC.</w:t>
      </w:r>
    </w:p>
    <w:p w14:paraId="1448B932" w14:textId="77777777" w:rsidR="00D52B83" w:rsidRDefault="00D52B83">
      <w:pPr>
        <w:spacing w:before="60" w:after="60"/>
      </w:pPr>
    </w:p>
    <w:p w14:paraId="44F571E1" w14:textId="77777777" w:rsidR="00D52B83" w:rsidRDefault="00000000">
      <w:pPr>
        <w:pStyle w:val="Heading2"/>
      </w:pPr>
      <w:r>
        <w:t>12.3 Temporal Feature Engineering</w:t>
      </w:r>
    </w:p>
    <w:p w14:paraId="171E9FDB" w14:textId="77777777" w:rsidR="00D52B83" w:rsidRDefault="00000000">
      <w:pPr>
        <w:spacing w:before="80" w:after="80"/>
      </w:pPr>
      <w:r>
        <w:rPr>
          <w:color w:val="000000"/>
        </w:rPr>
        <w:t>Augment the feature set with time-series derived variables, including monthly charge trend (increasing vs decreasing), service plan change history, support ticket frequency, and billing dispute flags. These behavioural signals are strong leading indicators of churn and would substantially improve model performance if available from CRM data.</w:t>
      </w:r>
    </w:p>
    <w:p w14:paraId="0CE7433E" w14:textId="77777777" w:rsidR="00D52B83" w:rsidRDefault="00D52B83">
      <w:pPr>
        <w:spacing w:before="60" w:after="60"/>
      </w:pPr>
    </w:p>
    <w:p w14:paraId="1F0B5B38" w14:textId="77777777" w:rsidR="00D52B83" w:rsidRDefault="00000000">
      <w:pPr>
        <w:pStyle w:val="Heading2"/>
      </w:pPr>
      <w:r>
        <w:t>12.4 Ensemble Stacking</w:t>
      </w:r>
    </w:p>
    <w:p w14:paraId="11B747F1" w14:textId="77777777" w:rsidR="00D52B83" w:rsidRDefault="00000000">
      <w:pPr>
        <w:spacing w:before="80" w:after="80"/>
      </w:pPr>
      <w:r>
        <w:rPr>
          <w:color w:val="000000"/>
        </w:rPr>
        <w:t xml:space="preserve">Implement a stacking ensemble that combines the predictions of Logistic Regression, Random Forest, and </w:t>
      </w:r>
      <w:proofErr w:type="spellStart"/>
      <w:r>
        <w:rPr>
          <w:color w:val="000000"/>
        </w:rPr>
        <w:t>XGBoost</w:t>
      </w:r>
      <w:proofErr w:type="spellEnd"/>
      <w:r>
        <w:rPr>
          <w:color w:val="000000"/>
        </w:rPr>
        <w:t xml:space="preserve"> using a meta-learner (e.g., Logistic Regression on the out-of-fold predictions). Stacking can capture diverse decision boundaries from different base models, often outperforming any single model.</w:t>
      </w:r>
    </w:p>
    <w:p w14:paraId="3F4F9ECD" w14:textId="77777777" w:rsidR="00D52B83" w:rsidRDefault="00D52B83">
      <w:pPr>
        <w:spacing w:before="60" w:after="60"/>
      </w:pPr>
    </w:p>
    <w:p w14:paraId="6C8BE56D" w14:textId="77777777" w:rsidR="00D52B83" w:rsidRDefault="00000000">
      <w:pPr>
        <w:pStyle w:val="Heading2"/>
      </w:pPr>
      <w:r>
        <w:t>12.5 SHAP Explainability Integration</w:t>
      </w:r>
    </w:p>
    <w:p w14:paraId="4DED8753" w14:textId="77777777" w:rsidR="00D52B83" w:rsidRDefault="00000000">
      <w:pPr>
        <w:spacing w:before="80" w:after="80"/>
      </w:pPr>
      <w:r>
        <w:rPr>
          <w:color w:val="000000"/>
        </w:rPr>
        <w:t>Integrate SHAP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into the production scoring pipeline to generate customer-level prediction explanations. SHAP values decompose each churn probability score into the contribution of each feature, enabling the Customer Success team to understand why a specific customer is at risk and tailor the retention intervention accordingly.</w:t>
      </w:r>
    </w:p>
    <w:p w14:paraId="2C6D5764" w14:textId="77777777" w:rsidR="00D52B83" w:rsidRDefault="00D52B83">
      <w:pPr>
        <w:spacing w:before="60" w:after="60"/>
      </w:pPr>
    </w:p>
    <w:p w14:paraId="79BE61CE" w14:textId="77777777" w:rsidR="00D52B83" w:rsidRDefault="00000000">
      <w:pPr>
        <w:pStyle w:val="Heading2"/>
      </w:pPr>
      <w:r>
        <w:t>12.6 Expanded Data Collection</w:t>
      </w:r>
    </w:p>
    <w:p w14:paraId="17BB0ACF" w14:textId="77777777" w:rsidR="00D52B83" w:rsidRDefault="00000000">
      <w:pPr>
        <w:spacing w:before="80" w:after="80"/>
      </w:pPr>
      <w:r>
        <w:rPr>
          <w:color w:val="000000"/>
        </w:rPr>
        <w:t>Prioritise the collection of additional data dimensions including customer service interaction logs, Net Promoter Score (NPS) survey responses, competitor promotional event data, and channel-level engagement metrics. These additions would move the model toward a more holistic customer health score framework.</w:t>
      </w:r>
    </w:p>
    <w:p w14:paraId="7D9A5B1F" w14:textId="77777777" w:rsidR="00D52B83" w:rsidRDefault="00D52B83">
      <w:pPr>
        <w:spacing w:before="60" w:after="60"/>
      </w:pPr>
    </w:p>
    <w:p w14:paraId="25A6AFBF" w14:textId="77777777" w:rsidR="00D52B83" w:rsidRDefault="00000000">
      <w:pPr>
        <w:pStyle w:val="Heading2"/>
      </w:pPr>
      <w:r>
        <w:lastRenderedPageBreak/>
        <w:t>12.7 Survival Analysis Extension</w:t>
      </w:r>
    </w:p>
    <w:p w14:paraId="06B0F30E" w14:textId="77777777" w:rsidR="00D52B83" w:rsidRDefault="00000000">
      <w:pPr>
        <w:spacing w:before="80" w:after="80"/>
      </w:pPr>
      <w:r>
        <w:rPr>
          <w:color w:val="000000"/>
        </w:rPr>
        <w:t>Complement the binary classification model with a time-to-churn survival analysis model (Cox Proportional Hazards or Accelerated Failure Time models). Survival analysis models the temporal dimension of churn, enabling the business to predict not just who will churn but when, enabling more precisely timed interventions.</w:t>
      </w:r>
    </w:p>
    <w:p w14:paraId="4D690A32" w14:textId="77777777" w:rsidR="00D52B83" w:rsidRDefault="00000000">
      <w:r>
        <w:br w:type="page"/>
      </w:r>
    </w:p>
    <w:p w14:paraId="51B8FD26" w14:textId="77777777" w:rsidR="00D52B83" w:rsidRDefault="00000000">
      <w:pPr>
        <w:pStyle w:val="Heading1"/>
        <w:pBdr>
          <w:bottom w:val="single" w:sz="6" w:space="1" w:color="2E5596"/>
        </w:pBdr>
      </w:pPr>
      <w:r>
        <w:lastRenderedPageBreak/>
        <w:t>13. Conclusion</w:t>
      </w:r>
    </w:p>
    <w:p w14:paraId="56A702A5" w14:textId="77777777" w:rsidR="00AC5C09" w:rsidRPr="00AC5C09" w:rsidRDefault="00AC5C09" w:rsidP="00AC5C09">
      <w:pPr>
        <w:spacing w:before="60" w:after="60"/>
        <w:rPr>
          <w:color w:val="000000"/>
        </w:rPr>
      </w:pPr>
      <w:r w:rsidRPr="00AC5C09">
        <w:rPr>
          <w:color w:val="000000"/>
        </w:rPr>
        <w:t>This project successfully delivered a complete end-to-end supervised machine learning classification solution for customer churn prediction applied to the IBM Telco Customer Churn dataset. The work included intense exploratory data analysis, systematic pre-processing, creation and testing of six classification models and extraction of practical business recommendations.</w:t>
      </w:r>
      <w:r w:rsidRPr="00AC5C09">
        <w:rPr>
          <w:color w:val="000000"/>
        </w:rPr>
        <w:br/>
      </w:r>
      <w:r w:rsidRPr="00AC5C09">
        <w:rPr>
          <w:color w:val="000000"/>
        </w:rPr>
        <w:br/>
        <w:t xml:space="preserve">The project objective of building a model to accurately identify customers that are at a high risk of churn ahead of the attrition event has been met. </w:t>
      </w:r>
      <w:proofErr w:type="spellStart"/>
      <w:r w:rsidRPr="00AC5C09">
        <w:rPr>
          <w:color w:val="000000"/>
        </w:rPr>
        <w:t>XGBoost</w:t>
      </w:r>
      <w:proofErr w:type="spellEnd"/>
      <w:r w:rsidRPr="00AC5C09">
        <w:rPr>
          <w:color w:val="000000"/>
        </w:rPr>
        <w:t xml:space="preserve"> was observed to be the best performing model with an accuracy of 82.1%, an F1 score of 64.4% and an AUC-ROC of 0.871 on the held-out test set. These results represent a significant improvement over a baseline logistic regression model and a naive majority-class classifier.</w:t>
      </w:r>
    </w:p>
    <w:p w14:paraId="33F22603" w14:textId="77777777" w:rsidR="00D52B83" w:rsidRDefault="00D52B83">
      <w:pPr>
        <w:spacing w:before="60" w:after="60"/>
      </w:pPr>
    </w:p>
    <w:p w14:paraId="6BA91E00" w14:textId="77777777" w:rsidR="00D52B83" w:rsidRDefault="00000000">
      <w:pPr>
        <w:spacing w:before="80" w:after="80"/>
      </w:pPr>
      <w:r>
        <w:rPr>
          <w:color w:val="000000"/>
        </w:rPr>
        <w:t xml:space="preserve">The key analytical finding is clear and commercially actionable: churn risk in the IBM Telco customer base is concentrated among month-to-month customers in their early lifecycle, particularly those subscribing to </w:t>
      </w:r>
      <w:proofErr w:type="spellStart"/>
      <w:r>
        <w:rPr>
          <w:color w:val="000000"/>
        </w:rPr>
        <w:t>fiber</w:t>
      </w:r>
      <w:proofErr w:type="spellEnd"/>
      <w:r>
        <w:rPr>
          <w:color w:val="000000"/>
        </w:rPr>
        <w:t xml:space="preserve"> optic internet at high monthly charges, without value-added security or support services, and paying via electronic check. This profile defines a high-leverage intervention target for the Customer Success, Marketing, and Product teams.</w:t>
      </w:r>
    </w:p>
    <w:p w14:paraId="51F0C8D4" w14:textId="77777777" w:rsidR="00D52B83" w:rsidRDefault="00D52B83">
      <w:pPr>
        <w:spacing w:before="60" w:after="60"/>
      </w:pPr>
    </w:p>
    <w:p w14:paraId="1D555D56" w14:textId="77777777" w:rsidR="00D52B83" w:rsidRDefault="00000000">
      <w:pPr>
        <w:spacing w:before="80" w:after="80"/>
      </w:pPr>
      <w:r>
        <w:rPr>
          <w:color w:val="000000"/>
        </w:rPr>
        <w:t>The business impact of deploying this model is substantial. By enabling proactive, model-driven retention outreach rather than reactive responses to cancellation requests, the organisation can realistically expect to reduce annualised churn-related revenue loss by 10–20%, translating to hundreds of thousands of dollars in protected recurring revenue per customer cohort. At scale, this represents a compelling ROI on the data science investment.</w:t>
      </w:r>
    </w:p>
    <w:p w14:paraId="6EEA6A6E" w14:textId="77777777" w:rsidR="00D52B83" w:rsidRDefault="00D52B83">
      <w:pPr>
        <w:spacing w:before="60" w:after="60"/>
      </w:pPr>
    </w:p>
    <w:p w14:paraId="3201F506" w14:textId="77777777" w:rsidR="00D52B83" w:rsidRDefault="00000000">
      <w:pPr>
        <w:spacing w:before="80" w:after="80"/>
      </w:pPr>
      <w:r>
        <w:rPr>
          <w:color w:val="000000"/>
        </w:rPr>
        <w:t>The model is recommended for immediate deployment as a real-time churn scoring engine integrated with the CRM platform, with ongoing monitoring, periodic retraining, and a planned evolution toward SHAP-powered explainability and survival analysis-based temporal forecasting. The recommendations outlined in Section 10 provide a clear implementation roadmap for the Customer Success and Product leadership teams.</w:t>
      </w:r>
    </w:p>
    <w:p w14:paraId="1021B2C9" w14:textId="77777777" w:rsidR="00D52B83" w:rsidRDefault="00D52B83">
      <w:pPr>
        <w:spacing w:before="60" w:after="60"/>
      </w:pPr>
    </w:p>
    <w:p w14:paraId="77D4870F" w14:textId="77777777" w:rsidR="00D52B83" w:rsidRDefault="00000000">
      <w:pPr>
        <w:pBdr>
          <w:top w:val="single" w:sz="6" w:space="8" w:color="2E5596"/>
        </w:pBdr>
        <w:spacing w:before="360" w:after="160"/>
        <w:jc w:val="center"/>
      </w:pPr>
      <w:r>
        <w:rPr>
          <w:i/>
          <w:iCs/>
          <w:color w:val="888888"/>
        </w:rPr>
        <w:t>— End of Report —</w:t>
      </w:r>
    </w:p>
    <w:sectPr w:rsidR="00D52B83">
      <w:headerReference w:type="default" r:id="rId7"/>
      <w:footerReference w:type="default" r:id="rId8"/>
      <w:pgSz w:w="12240" w:h="15840"/>
      <w:pgMar w:top="144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B888E" w14:textId="77777777" w:rsidR="000A2812" w:rsidRDefault="000A2812">
      <w:r>
        <w:separator/>
      </w:r>
    </w:p>
  </w:endnote>
  <w:endnote w:type="continuationSeparator" w:id="0">
    <w:p w14:paraId="0D8DEF44" w14:textId="77777777" w:rsidR="000A2812" w:rsidRDefault="000A2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665FB" w14:textId="77777777" w:rsidR="00D52B83" w:rsidRDefault="00000000">
    <w:pPr>
      <w:pBdr>
        <w:top w:val="single" w:sz="6" w:space="4" w:color="2E5596"/>
      </w:pBdr>
      <w:jc w:val="center"/>
    </w:pPr>
    <w:r>
      <w:rPr>
        <w:color w:val="888888"/>
        <w:sz w:val="18"/>
        <w:szCs w:val="18"/>
      </w:rPr>
      <w:t xml:space="preserve">Confidential | Prepared for Senior Leadership  •  Page </w:t>
    </w:r>
    <w:r>
      <w:fldChar w:fldCharType="begin"/>
    </w:r>
    <w:r>
      <w:instrText>PAGE</w:instrText>
    </w:r>
    <w:r>
      <w:fldChar w:fldCharType="separate"/>
    </w:r>
    <w:r w:rsidR="00AC5C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8B59C" w14:textId="77777777" w:rsidR="000A2812" w:rsidRDefault="000A2812">
      <w:r>
        <w:separator/>
      </w:r>
    </w:p>
  </w:footnote>
  <w:footnote w:type="continuationSeparator" w:id="0">
    <w:p w14:paraId="5003C696" w14:textId="77777777" w:rsidR="000A2812" w:rsidRDefault="000A2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6B377" w14:textId="77777777" w:rsidR="00D52B83" w:rsidRDefault="00000000">
    <w:pPr>
      <w:pBdr>
        <w:bottom w:val="single" w:sz="6" w:space="4" w:color="2E5596"/>
      </w:pBdr>
      <w:jc w:val="right"/>
    </w:pPr>
    <w:r>
      <w:rPr>
        <w:color w:val="2E5596"/>
        <w:sz w:val="18"/>
        <w:szCs w:val="18"/>
      </w:rPr>
      <w:t>IBM Telco Customer Churn — Classification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403C6"/>
    <w:multiLevelType w:val="hybridMultilevel"/>
    <w:tmpl w:val="76AC3F20"/>
    <w:lvl w:ilvl="0" w:tplc="FB98A084">
      <w:start w:val="1"/>
      <w:numFmt w:val="bullet"/>
      <w:lvlText w:val="●"/>
      <w:lvlJc w:val="left"/>
      <w:pPr>
        <w:ind w:left="720" w:hanging="360"/>
      </w:pPr>
    </w:lvl>
    <w:lvl w:ilvl="1" w:tplc="61FEEB6E">
      <w:start w:val="1"/>
      <w:numFmt w:val="bullet"/>
      <w:lvlText w:val="○"/>
      <w:lvlJc w:val="left"/>
      <w:pPr>
        <w:ind w:left="1440" w:hanging="360"/>
      </w:pPr>
    </w:lvl>
    <w:lvl w:ilvl="2" w:tplc="856CE37C">
      <w:start w:val="1"/>
      <w:numFmt w:val="bullet"/>
      <w:lvlText w:val="■"/>
      <w:lvlJc w:val="left"/>
      <w:pPr>
        <w:ind w:left="2160" w:hanging="360"/>
      </w:pPr>
    </w:lvl>
    <w:lvl w:ilvl="3" w:tplc="D1D8FC92">
      <w:start w:val="1"/>
      <w:numFmt w:val="bullet"/>
      <w:lvlText w:val="●"/>
      <w:lvlJc w:val="left"/>
      <w:pPr>
        <w:ind w:left="2880" w:hanging="360"/>
      </w:pPr>
    </w:lvl>
    <w:lvl w:ilvl="4" w:tplc="EF02BC4E">
      <w:start w:val="1"/>
      <w:numFmt w:val="bullet"/>
      <w:lvlText w:val="○"/>
      <w:lvlJc w:val="left"/>
      <w:pPr>
        <w:ind w:left="3600" w:hanging="360"/>
      </w:pPr>
    </w:lvl>
    <w:lvl w:ilvl="5" w:tplc="9598918A">
      <w:start w:val="1"/>
      <w:numFmt w:val="bullet"/>
      <w:lvlText w:val="■"/>
      <w:lvlJc w:val="left"/>
      <w:pPr>
        <w:ind w:left="4320" w:hanging="360"/>
      </w:pPr>
    </w:lvl>
    <w:lvl w:ilvl="6" w:tplc="EC64717A">
      <w:start w:val="1"/>
      <w:numFmt w:val="bullet"/>
      <w:lvlText w:val="●"/>
      <w:lvlJc w:val="left"/>
      <w:pPr>
        <w:ind w:left="5040" w:hanging="360"/>
      </w:pPr>
    </w:lvl>
    <w:lvl w:ilvl="7" w:tplc="D8408B7A">
      <w:start w:val="1"/>
      <w:numFmt w:val="bullet"/>
      <w:lvlText w:val="●"/>
      <w:lvlJc w:val="left"/>
      <w:pPr>
        <w:ind w:left="5760" w:hanging="360"/>
      </w:pPr>
    </w:lvl>
    <w:lvl w:ilvl="8" w:tplc="2B40A004">
      <w:start w:val="1"/>
      <w:numFmt w:val="bullet"/>
      <w:lvlText w:val="●"/>
      <w:lvlJc w:val="left"/>
      <w:pPr>
        <w:ind w:left="6480" w:hanging="360"/>
      </w:pPr>
    </w:lvl>
  </w:abstractNum>
  <w:abstractNum w:abstractNumId="1" w15:restartNumberingAfterBreak="0">
    <w:nsid w:val="5F3D0219"/>
    <w:multiLevelType w:val="hybridMultilevel"/>
    <w:tmpl w:val="48AA1980"/>
    <w:lvl w:ilvl="0" w:tplc="87B0E9C6">
      <w:start w:val="1"/>
      <w:numFmt w:val="bullet"/>
      <w:lvlText w:val="•"/>
      <w:lvlJc w:val="left"/>
      <w:pPr>
        <w:ind w:left="720" w:hanging="360"/>
      </w:pPr>
    </w:lvl>
    <w:lvl w:ilvl="1" w:tplc="DDE054F8">
      <w:start w:val="1"/>
      <w:numFmt w:val="bullet"/>
      <w:lvlText w:val="○"/>
      <w:lvlJc w:val="left"/>
      <w:pPr>
        <w:ind w:left="1080" w:hanging="360"/>
      </w:pPr>
    </w:lvl>
    <w:lvl w:ilvl="2" w:tplc="204676DE">
      <w:numFmt w:val="decimal"/>
      <w:lvlText w:val=""/>
      <w:lvlJc w:val="left"/>
    </w:lvl>
    <w:lvl w:ilvl="3" w:tplc="C5365B14">
      <w:numFmt w:val="decimal"/>
      <w:lvlText w:val=""/>
      <w:lvlJc w:val="left"/>
    </w:lvl>
    <w:lvl w:ilvl="4" w:tplc="96A00DA8">
      <w:numFmt w:val="decimal"/>
      <w:lvlText w:val=""/>
      <w:lvlJc w:val="left"/>
    </w:lvl>
    <w:lvl w:ilvl="5" w:tplc="3F8899DC">
      <w:numFmt w:val="decimal"/>
      <w:lvlText w:val=""/>
      <w:lvlJc w:val="left"/>
    </w:lvl>
    <w:lvl w:ilvl="6" w:tplc="1CFE9C2A">
      <w:numFmt w:val="decimal"/>
      <w:lvlText w:val=""/>
      <w:lvlJc w:val="left"/>
    </w:lvl>
    <w:lvl w:ilvl="7" w:tplc="5C34D368">
      <w:numFmt w:val="decimal"/>
      <w:lvlText w:val=""/>
      <w:lvlJc w:val="left"/>
    </w:lvl>
    <w:lvl w:ilvl="8" w:tplc="E542D868">
      <w:numFmt w:val="decimal"/>
      <w:lvlText w:val=""/>
      <w:lvlJc w:val="left"/>
    </w:lvl>
  </w:abstractNum>
  <w:num w:numId="1" w16cid:durableId="393236015">
    <w:abstractNumId w:val="0"/>
    <w:lvlOverride w:ilvl="0">
      <w:startOverride w:val="1"/>
    </w:lvlOverride>
  </w:num>
  <w:num w:numId="2" w16cid:durableId="19713519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B83"/>
    <w:rsid w:val="000A2812"/>
    <w:rsid w:val="00417424"/>
    <w:rsid w:val="00AC5C09"/>
    <w:rsid w:val="00D52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7C8B2"/>
  <w15:docId w15:val="{6D394977-3D69-4867-9668-BF99E3AFB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60" w:after="120"/>
      <w:outlineLvl w:val="1"/>
    </w:pPr>
    <w:rPr>
      <w:b/>
      <w:bCs/>
      <w:color w:val="2E5596"/>
      <w:sz w:val="28"/>
      <w:szCs w:val="28"/>
    </w:rPr>
  </w:style>
  <w:style w:type="paragraph" w:styleId="Heading3">
    <w:name w:val="heading 3"/>
    <w:uiPriority w:val="9"/>
    <w:unhideWhenUsed/>
    <w:qFormat/>
    <w:pPr>
      <w:spacing w:before="20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5195</Words>
  <Characters>29618</Characters>
  <Application>Microsoft Office Word</Application>
  <DocSecurity>0</DocSecurity>
  <Lines>246</Lines>
  <Paragraphs>69</Paragraphs>
  <ScaleCrop>false</ScaleCrop>
  <Company/>
  <LinksUpToDate>false</LinksUpToDate>
  <CharactersWithSpaces>34744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Sonkar</cp:lastModifiedBy>
  <cp:revision>2</cp:revision>
  <dcterms:created xsi:type="dcterms:W3CDTF">2026-06-09T18:21:00Z</dcterms:created>
  <dcterms:modified xsi:type="dcterms:W3CDTF">2026-06-09T18:43:00Z</dcterms:modified>
</cp:coreProperties>
</file>