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40" w:before="600"/>
        <w:jc w:val="center"/>
      </w:pPr>
      <w:r>
        <w:rPr>
          <w:rFonts w:ascii="Calibri" w:cs="Calibri" w:eastAsia="Calibri" w:hAnsi="Calibri"/>
          <w:b/>
          <w:bCs/>
          <w:color w:val="1B3A6B"/>
          <w:sz w:val="60"/>
          <w:szCs w:val="60"/>
        </w:rPr>
        <w:t xml:space="preserve">Customer Segmentation Analysis</w:t>
      </w:r>
    </w:p>
    <w:p>
      <w:pPr>
        <w:spacing w:after="80" w:before="80"/>
        <w:jc w:val="center"/>
      </w:pPr>
      <w:r>
        <w:rPr>
          <w:rFonts w:ascii="Calibri" w:cs="Calibri" w:eastAsia="Calibri" w:hAnsi="Calibri"/>
          <w:color w:val="1A6E82"/>
          <w:sz w:val="34"/>
          <w:szCs w:val="34"/>
        </w:rPr>
        <w:t xml:space="preserve">Unsupervised Learning — Clustering &amp; Dimensionality Reduction</w:t>
      </w:r>
    </w:p>
    <w:p>
      <w:pPr>
        <w:spacing w:after="60" w:before="60"/>
        <w:jc w:val="center"/>
      </w:pPr>
      <w:r>
        <w:rPr>
          <w:rFonts w:ascii="Calibri" w:cs="Calibri" w:eastAsia="Calibri" w:hAnsi="Calibri"/>
          <w:i/>
          <w:iCs/>
          <w:color w:val="1A6E82"/>
          <w:sz w:val="28"/>
          <w:szCs w:val="28"/>
        </w:rPr>
        <w:t xml:space="preserve">IBM Telco Customer Dataset</w:t>
      </w:r>
    </w:p>
    <w:p>
      <w:pPr>
        <w:spacing w:after="60" w:before="60"/>
      </w:pPr>
      <w:r>
        <w:t xml:space="preserve"/>
      </w:r>
    </w:p>
    <w:p>
      <w:pPr>
        <w:spacing w:after="60" w:before="60"/>
      </w:pPr>
      <w:r>
        <w:t xml:space="preserve"/>
      </w:r>
    </w:p>
    <w:p>
      <w:pPr>
        <w:spacing w:after="40" w:before="80"/>
        <w:jc w:val="center"/>
      </w:pPr>
      <w:r>
        <w:rPr>
          <w:rFonts w:ascii="Calibri" w:cs="Calibri" w:eastAsia="Calibri" w:hAnsi="Calibri"/>
          <w:color w:val="555555"/>
          <w:sz w:val="22"/>
          <w:szCs w:val="22"/>
        </w:rPr>
        <w:t xml:space="preserve">Prepared for: Chief Data Officer / Head of Analytics</w:t>
      </w:r>
    </w:p>
    <w:p>
      <w:pPr>
        <w:spacing w:after="40" w:before="40"/>
        <w:jc w:val="center"/>
      </w:pPr>
      <w:r>
        <w:rPr>
          <w:rFonts w:ascii="Calibri" w:cs="Calibri" w:eastAsia="Calibri" w:hAnsi="Calibri"/>
          <w:color w:val="555555"/>
          <w:sz w:val="22"/>
          <w:szCs w:val="22"/>
        </w:rPr>
        <w:t xml:space="preserve">IBM / Coursera — Unsupervised Learning Final Project</w:t>
      </w:r>
    </w:p>
    <w:p>
      <w:pPr>
        <w:spacing w:after="40" w:before="40"/>
        <w:jc w:val="center"/>
      </w:pPr>
      <w:r>
        <w:rPr>
          <w:rFonts w:ascii="Calibri" w:cs="Calibri" w:eastAsia="Calibri" w:hAnsi="Calibri"/>
          <w:color w:val="555555"/>
          <w:sz w:val="22"/>
          <w:szCs w:val="22"/>
        </w:rPr>
        <w:t xml:space="preserve">June 2026</w:t>
      </w:r>
    </w:p>
    <w:p>
      <w:r>
        <w:br w:type="page"/>
      </w:r>
    </w:p>
    <w:p>
      <w:pPr>
        <w:pStyle w:val="Heading1"/>
        <w:pBdr>
          <w:bottom w:val="single" w:color="1A6E82" w:sz="8" w:space="4"/>
        </w:pBdr>
        <w:spacing w:after="160" w:before="380"/>
      </w:pPr>
      <w:r>
        <w:rPr>
          <w:rFonts w:ascii="Calibri" w:cs="Calibri" w:eastAsia="Calibri" w:hAnsi="Calibri"/>
          <w:b/>
          <w:bCs/>
          <w:color w:val="1B3A6B"/>
          <w:sz w:val="38"/>
          <w:szCs w:val="38"/>
        </w:rPr>
        <w:t xml:space="preserve">1. Executive Summary</w:t>
      </w:r>
    </w:p>
    <w:p>
      <w:pPr>
        <w:spacing w:after="120" w:before="100" w:line="340"/>
        <w:jc w:val="left"/>
      </w:pPr>
      <w:r>
        <w:rPr>
          <w:rFonts w:ascii="Calibri" w:cs="Calibri" w:eastAsia="Calibri" w:hAnsi="Calibri"/>
          <w:b w:val="false"/>
          <w:bCs w:val="false"/>
          <w:i w:val="false"/>
          <w:iCs w:val="false"/>
          <w:color w:val="111111"/>
          <w:sz w:val="22"/>
          <w:szCs w:val="22"/>
        </w:rPr>
        <w:t xml:space="preserve">This report presents findings from an unsupervised machine learning study applied to the IBM Telco Customer Churn dataset. The goal was practical from the start: instead of just predicting who churns, this analysis asks a more fundamental question — are all customers really the same, or are there meaningfully different groups hiding in the data? If distinct segments exist, the business can move away from one-size-fits-all retention strategies toward something far more targeted.</w:t>
      </w:r>
    </w:p>
    <w:p>
      <w:pPr>
        <w:spacing w:after="60" w:before="60"/>
      </w:pPr>
      <w:r>
        <w:t xml:space="preserve"/>
      </w:r>
    </w:p>
    <w:p>
      <w:pPr>
        <w:spacing w:after="120" w:before="100" w:line="340"/>
        <w:jc w:val="left"/>
      </w:pPr>
      <w:r>
        <w:rPr>
          <w:rFonts w:ascii="Calibri" w:cs="Calibri" w:eastAsia="Calibri" w:hAnsi="Calibri"/>
          <w:b w:val="false"/>
          <w:bCs w:val="false"/>
          <w:i w:val="false"/>
          <w:iCs w:val="false"/>
          <w:color w:val="111111"/>
          <w:sz w:val="22"/>
          <w:szCs w:val="22"/>
        </w:rPr>
        <w:t xml:space="preserve">To answer that question, six clustering model variations were trained and compared: three configurations of K-Means, two variants of Hierarchical Clustering, and DBSCAN. A PCA-based dimensionality reduction was also applied to understand the underlying structure of the feature space. K-Means with three clusters emerged as the most coherent and actionable solution, achieving the highest silhouette score (0.214) among all variations.</w:t>
      </w:r>
    </w:p>
    <w:p>
      <w:pPr>
        <w:spacing w:after="60" w:before="60"/>
      </w:pPr>
      <w:r>
        <w:t xml:space="preserve"/>
      </w:r>
    </w:p>
    <w:p>
      <w:pPr>
        <w:spacing w:after="120" w:before="100" w:line="340"/>
        <w:jc w:val="left"/>
      </w:pPr>
      <w:r>
        <w:rPr>
          <w:rFonts w:ascii="Calibri" w:cs="Calibri" w:eastAsia="Calibri" w:hAnsi="Calibri"/>
          <w:b w:val="false"/>
          <w:bCs w:val="false"/>
          <w:i w:val="false"/>
          <w:iCs w:val="false"/>
          <w:color w:val="111111"/>
          <w:sz w:val="22"/>
          <w:szCs w:val="22"/>
        </w:rPr>
        <w:t xml:space="preserve">The three clusters that emerged are genuinely distinct and tell a clear story. One group contains long-tenured, loyal customers on annual or multi-year contracts — low churn risk, high lifetime value. A second group is dominated by newer customers on month-to-month contracts, paying higher monthly bills, and showing observed churn rates near 44%. A third group sits in the middle: moderately engaged customers who represent a real growth and retention opportunity if approached correctly.</w:t>
      </w:r>
    </w:p>
    <w:p>
      <w:pPr>
        <w:spacing w:after="60" w:before="60"/>
      </w:pPr>
      <w:r>
        <w:t xml:space="preserve"/>
      </w:r>
    </w:p>
    <w:p>
      <w:pPr>
        <w:spacing w:after="120" w:before="100" w:line="340"/>
        <w:jc w:val="left"/>
      </w:pPr>
      <w:r>
        <w:rPr>
          <w:rFonts w:ascii="Calibri" w:cs="Calibri" w:eastAsia="Calibri" w:hAnsi="Calibri"/>
          <w:b w:val="false"/>
          <w:bCs w:val="false"/>
          <w:i w:val="false"/>
          <w:iCs w:val="false"/>
          <w:color w:val="111111"/>
          <w:sz w:val="22"/>
          <w:szCs w:val="22"/>
        </w:rPr>
        <w:t xml:space="preserve">These findings have direct implications for how the Customer Success, Marketing, and Product teams prioritise their work. The recommendations in this report are grounded in what the data actually shows — not assumptions.</w:t>
      </w:r>
    </w:p>
    <w:p>
      <w:r>
        <w:br w:type="page"/>
      </w:r>
    </w:p>
    <w:p>
      <w:pPr>
        <w:pStyle w:val="Heading1"/>
        <w:pBdr>
          <w:bottom w:val="single" w:color="1A6E82" w:sz="8" w:space="4"/>
        </w:pBdr>
        <w:spacing w:after="160" w:before="380"/>
      </w:pPr>
      <w:r>
        <w:rPr>
          <w:rFonts w:ascii="Calibri" w:cs="Calibri" w:eastAsia="Calibri" w:hAnsi="Calibri"/>
          <w:b/>
          <w:bCs/>
          <w:color w:val="1B3A6B"/>
          <w:sz w:val="38"/>
          <w:szCs w:val="38"/>
        </w:rPr>
        <w:t xml:space="preserve">2. Dataset Description</w:t>
      </w:r>
    </w:p>
    <w:p>
      <w:pPr>
        <w:pStyle w:val="Heading2"/>
        <w:spacing w:after="120" w:before="280"/>
      </w:pPr>
      <w:r>
        <w:rPr>
          <w:rFonts w:ascii="Calibri" w:cs="Calibri" w:eastAsia="Calibri" w:hAnsi="Calibri"/>
          <w:b/>
          <w:bCs/>
          <w:color w:val="1A6E82"/>
          <w:sz w:val="28"/>
          <w:szCs w:val="28"/>
        </w:rPr>
        <w:t xml:space="preserve">2.1 Source and Size</w:t>
      </w:r>
    </w:p>
    <w:p>
      <w:pPr>
        <w:spacing w:after="120" w:before="100" w:line="340"/>
        <w:jc w:val="left"/>
      </w:pPr>
      <w:r>
        <w:rPr>
          <w:rFonts w:ascii="Calibri" w:cs="Calibri" w:eastAsia="Calibri" w:hAnsi="Calibri"/>
          <w:b w:val="false"/>
          <w:bCs w:val="false"/>
          <w:i w:val="false"/>
          <w:iCs w:val="false"/>
          <w:color w:val="111111"/>
          <w:sz w:val="22"/>
          <w:szCs w:val="22"/>
        </w:rPr>
        <w:t xml:space="preserve">The dataset used throughout this analysis is the IBM Telco Customer Churn dataset, originally published on the IBM Watson Analytics platform and widely available via Kaggle. It contains 7,043 customer records across 21 variables, making it substantial enough to draw meaningful cluster distinctions while remaining interpretable.</w:t>
      </w:r>
    </w:p>
    <w:p>
      <w:pPr>
        <w:spacing w:after="60" w:before="60"/>
      </w:pPr>
      <w:r>
        <w:t xml:space="preserve"/>
      </w:r>
    </w:p>
    <w:p>
      <w:pPr>
        <w:spacing w:after="120" w:before="100" w:line="340"/>
        <w:jc w:val="left"/>
      </w:pPr>
      <w:r>
        <w:rPr>
          <w:rFonts w:ascii="Calibri" w:cs="Calibri" w:eastAsia="Calibri" w:hAnsi="Calibri"/>
          <w:b w:val="false"/>
          <w:bCs w:val="false"/>
          <w:i w:val="false"/>
          <w:iCs w:val="false"/>
          <w:color w:val="111111"/>
          <w:sz w:val="22"/>
          <w:szCs w:val="22"/>
        </w:rPr>
        <w:t xml:space="preserve">The dataset captures a broad view of each customer's relationship with a fictional telecommunications provider — covering who they are, what services they use, how they pay, and whether they eventually left. For the purposes of this unsupervised analysis, the Churn variable was held aside as a validation label rather than a training signal, since clustering is inherently label-free.</w:t>
      </w:r>
    </w:p>
    <w:p>
      <w:pPr>
        <w:spacing w:after="60" w:before="60"/>
      </w:pPr>
      <w:r>
        <w:t xml:space="preserve"/>
      </w:r>
    </w:p>
    <w:p>
      <w:pPr>
        <w:pStyle w:val="Heading2"/>
        <w:spacing w:after="120" w:before="280"/>
      </w:pPr>
      <w:r>
        <w:rPr>
          <w:rFonts w:ascii="Calibri" w:cs="Calibri" w:eastAsia="Calibri" w:hAnsi="Calibri"/>
          <w:b/>
          <w:bCs/>
          <w:color w:val="1A6E82"/>
          <w:sz w:val="28"/>
          <w:szCs w:val="28"/>
        </w:rPr>
        <w:t xml:space="preserve">2.2 Attribute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gridSpan w:val="1"/>
            <w:tcBorders>
              <w:top w:val="single" w:color="AACCD6" w:sz="1"/>
              <w:left w:val="single" w:color="AACCD6" w:sz="1"/>
              <w:bottom w:val="single" w:color="AACCD6" w:sz="1"/>
              <w:right w:val="single" w:color="AACCD6" w:sz="1"/>
            </w:tcBorders>
            <w:shd w:fill="D4EAF0" w:val="clear"/>
            <w:tcMar>
              <w:top w:type="dxa" w:w="80"/>
              <w:left w:type="dxa" w:w="130"/>
              <w:bottom w:type="dxa" w:w="80"/>
              <w:right w:type="dxa" w:w="130"/>
            </w:tcMar>
            <w:vAlign w:val="center"/>
          </w:tcPr>
          <w:p>
            <w:pPr>
              <w:jc w:val="left"/>
            </w:pPr>
            <w:r>
              <w:rPr>
                <w:rFonts w:ascii="Calibri" w:cs="Calibri" w:eastAsia="Calibri" w:hAnsi="Calibri"/>
                <w:b/>
                <w:bCs/>
                <w:i w:val="false"/>
                <w:iCs w:val="false"/>
                <w:color w:val="1B3A6B"/>
                <w:sz w:val="20"/>
                <w:szCs w:val="20"/>
              </w:rPr>
              <w:t xml:space="preserve">Feature Group</w:t>
            </w:r>
          </w:p>
        </w:tc>
        <w:tc>
          <w:tcPr>
            <w:tcW w:type="dxa" w:w="1500"/>
            <w:gridSpan w:val="1"/>
            <w:tcBorders>
              <w:top w:val="single" w:color="AACCD6" w:sz="1"/>
              <w:left w:val="single" w:color="AACCD6" w:sz="1"/>
              <w:bottom w:val="single" w:color="AACCD6" w:sz="1"/>
              <w:right w:val="single" w:color="AACCD6" w:sz="1"/>
            </w:tcBorders>
            <w:shd w:fill="D4EAF0" w:val="clear"/>
            <w:tcMar>
              <w:top w:type="dxa" w:w="80"/>
              <w:left w:type="dxa" w:w="130"/>
              <w:bottom w:type="dxa" w:w="80"/>
              <w:right w:type="dxa" w:w="130"/>
            </w:tcMar>
            <w:vAlign w:val="center"/>
          </w:tcPr>
          <w:p>
            <w:pPr>
              <w:jc w:val="left"/>
            </w:pPr>
            <w:r>
              <w:rPr>
                <w:rFonts w:ascii="Calibri" w:cs="Calibri" w:eastAsia="Calibri" w:hAnsi="Calibri"/>
                <w:b/>
                <w:bCs/>
                <w:i w:val="false"/>
                <w:iCs w:val="false"/>
                <w:color w:val="1B3A6B"/>
                <w:sz w:val="20"/>
                <w:szCs w:val="20"/>
              </w:rPr>
              <w:t xml:space="preserve"># of Variables</w:t>
            </w:r>
          </w:p>
        </w:tc>
        <w:tc>
          <w:tcPr>
            <w:tcW w:type="dxa" w:w="5260"/>
            <w:gridSpan w:val="1"/>
            <w:tcBorders>
              <w:top w:val="single" w:color="AACCD6" w:sz="1"/>
              <w:left w:val="single" w:color="AACCD6" w:sz="1"/>
              <w:bottom w:val="single" w:color="AACCD6" w:sz="1"/>
              <w:right w:val="single" w:color="AACCD6" w:sz="1"/>
            </w:tcBorders>
            <w:shd w:fill="D4EAF0" w:val="clear"/>
            <w:tcMar>
              <w:top w:type="dxa" w:w="80"/>
              <w:left w:type="dxa" w:w="130"/>
              <w:bottom w:type="dxa" w:w="80"/>
              <w:right w:type="dxa" w:w="130"/>
            </w:tcMar>
            <w:vAlign w:val="center"/>
          </w:tcPr>
          <w:p>
            <w:pPr>
              <w:jc w:val="left"/>
            </w:pPr>
            <w:r>
              <w:rPr>
                <w:rFonts w:ascii="Calibri" w:cs="Calibri" w:eastAsia="Calibri" w:hAnsi="Calibri"/>
                <w:b/>
                <w:bCs/>
                <w:i w:val="false"/>
                <w:iCs w:val="false"/>
                <w:color w:val="1B3A6B"/>
                <w:sz w:val="20"/>
                <w:szCs w:val="20"/>
              </w:rPr>
              <w:t xml:space="preserve">Examples</w:t>
            </w:r>
          </w:p>
        </w:tc>
      </w:tr>
      <w:tr>
        <w:tc>
          <w:tcPr>
            <w:tcW w:type="dxa" w:w="260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left"/>
            </w:pPr>
            <w:r>
              <w:rPr>
                <w:rFonts w:ascii="Calibri" w:cs="Calibri" w:eastAsia="Calibri" w:hAnsi="Calibri"/>
                <w:b/>
                <w:bCs/>
                <w:i w:val="false"/>
                <w:iCs w:val="false"/>
                <w:color w:val="111111"/>
                <w:sz w:val="20"/>
                <w:szCs w:val="20"/>
              </w:rPr>
              <w:t xml:space="preserve">Demographics</w:t>
            </w:r>
          </w:p>
        </w:tc>
        <w:tc>
          <w:tcPr>
            <w:tcW w:type="dxa" w:w="150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111111"/>
                <w:sz w:val="20"/>
                <w:szCs w:val="20"/>
              </w:rPr>
              <w:t xml:space="preserve">3</w:t>
            </w:r>
          </w:p>
        </w:tc>
        <w:tc>
          <w:tcPr>
            <w:tcW w:type="dxa" w:w="526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gender, SeniorCitizen, Partner, Dependents</w:t>
            </w:r>
          </w:p>
        </w:tc>
      </w:tr>
      <w:tr>
        <w:tc>
          <w:tcPr>
            <w:tcW w:type="dxa" w:w="260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left"/>
            </w:pPr>
            <w:r>
              <w:rPr>
                <w:rFonts w:ascii="Calibri" w:cs="Calibri" w:eastAsia="Calibri" w:hAnsi="Calibri"/>
                <w:b/>
                <w:bCs/>
                <w:i w:val="false"/>
                <w:iCs w:val="false"/>
                <w:color w:val="111111"/>
                <w:sz w:val="20"/>
                <w:szCs w:val="20"/>
              </w:rPr>
              <w:t xml:space="preserve">Account / Contract</w:t>
            </w:r>
          </w:p>
        </w:tc>
        <w:tc>
          <w:tcPr>
            <w:tcW w:type="dxa" w:w="150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111111"/>
                <w:sz w:val="20"/>
                <w:szCs w:val="20"/>
              </w:rPr>
              <w:t xml:space="preserve">4</w:t>
            </w:r>
          </w:p>
        </w:tc>
        <w:tc>
          <w:tcPr>
            <w:tcW w:type="dxa" w:w="526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tenure, Contract, PaperlessBilling, PaymentMethod</w:t>
            </w:r>
          </w:p>
        </w:tc>
      </w:tr>
      <w:tr>
        <w:tc>
          <w:tcPr>
            <w:tcW w:type="dxa" w:w="260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left"/>
            </w:pPr>
            <w:r>
              <w:rPr>
                <w:rFonts w:ascii="Calibri" w:cs="Calibri" w:eastAsia="Calibri" w:hAnsi="Calibri"/>
                <w:b/>
                <w:bCs/>
                <w:i w:val="false"/>
                <w:iCs w:val="false"/>
                <w:color w:val="111111"/>
                <w:sz w:val="20"/>
                <w:szCs w:val="20"/>
              </w:rPr>
              <w:t xml:space="preserve">Phone Services</w:t>
            </w:r>
          </w:p>
        </w:tc>
        <w:tc>
          <w:tcPr>
            <w:tcW w:type="dxa" w:w="150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111111"/>
                <w:sz w:val="20"/>
                <w:szCs w:val="20"/>
              </w:rPr>
              <w:t xml:space="preserve">2</w:t>
            </w:r>
          </w:p>
        </w:tc>
        <w:tc>
          <w:tcPr>
            <w:tcW w:type="dxa" w:w="526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PhoneService, MultipleLines</w:t>
            </w:r>
          </w:p>
        </w:tc>
      </w:tr>
      <w:tr>
        <w:tc>
          <w:tcPr>
            <w:tcW w:type="dxa" w:w="260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left"/>
            </w:pPr>
            <w:r>
              <w:rPr>
                <w:rFonts w:ascii="Calibri" w:cs="Calibri" w:eastAsia="Calibri" w:hAnsi="Calibri"/>
                <w:b/>
                <w:bCs/>
                <w:i w:val="false"/>
                <w:iCs w:val="false"/>
                <w:color w:val="111111"/>
                <w:sz w:val="20"/>
                <w:szCs w:val="20"/>
              </w:rPr>
              <w:t xml:space="preserve">Internet Services</w:t>
            </w:r>
          </w:p>
        </w:tc>
        <w:tc>
          <w:tcPr>
            <w:tcW w:type="dxa" w:w="150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111111"/>
                <w:sz w:val="20"/>
                <w:szCs w:val="20"/>
              </w:rPr>
              <w:t xml:space="preserve">6</w:t>
            </w:r>
          </w:p>
        </w:tc>
        <w:tc>
          <w:tcPr>
            <w:tcW w:type="dxa" w:w="526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InternetService, OnlineSecurity, OnlineBackup, DeviceProtection, TechSupport, StreamingTV/Movies</w:t>
            </w:r>
          </w:p>
        </w:tc>
      </w:tr>
      <w:tr>
        <w:tc>
          <w:tcPr>
            <w:tcW w:type="dxa" w:w="260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left"/>
            </w:pPr>
            <w:r>
              <w:rPr>
                <w:rFonts w:ascii="Calibri" w:cs="Calibri" w:eastAsia="Calibri" w:hAnsi="Calibri"/>
                <w:b/>
                <w:bCs/>
                <w:i w:val="false"/>
                <w:iCs w:val="false"/>
                <w:color w:val="111111"/>
                <w:sz w:val="20"/>
                <w:szCs w:val="20"/>
              </w:rPr>
              <w:t xml:space="preserve">Billing</w:t>
            </w:r>
          </w:p>
        </w:tc>
        <w:tc>
          <w:tcPr>
            <w:tcW w:type="dxa" w:w="150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111111"/>
                <w:sz w:val="20"/>
                <w:szCs w:val="20"/>
              </w:rPr>
              <w:t xml:space="preserve">2</w:t>
            </w:r>
          </w:p>
        </w:tc>
        <w:tc>
          <w:tcPr>
            <w:tcW w:type="dxa" w:w="526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MonthlyCharges, TotalCharges</w:t>
            </w:r>
          </w:p>
        </w:tc>
      </w:tr>
      <w:tr>
        <w:tc>
          <w:tcPr>
            <w:tcW w:type="dxa" w:w="260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left"/>
            </w:pPr>
            <w:r>
              <w:rPr>
                <w:rFonts w:ascii="Calibri" w:cs="Calibri" w:eastAsia="Calibri" w:hAnsi="Calibri"/>
                <w:b/>
                <w:bCs/>
                <w:i w:val="false"/>
                <w:iCs w:val="false"/>
                <w:color w:val="111111"/>
                <w:sz w:val="20"/>
                <w:szCs w:val="20"/>
              </w:rPr>
              <w:t xml:space="preserve">Target (supervised)</w:t>
            </w:r>
          </w:p>
        </w:tc>
        <w:tc>
          <w:tcPr>
            <w:tcW w:type="dxa" w:w="150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111111"/>
                <w:sz w:val="20"/>
                <w:szCs w:val="20"/>
              </w:rPr>
              <w:t xml:space="preserve">1</w:t>
            </w:r>
          </w:p>
        </w:tc>
        <w:tc>
          <w:tcPr>
            <w:tcW w:type="dxa" w:w="526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Churn (Yes / No) — not used in unsupervised training</w:t>
            </w:r>
          </w:p>
        </w:tc>
      </w:tr>
    </w:tbl>
    <w:p>
      <w:pPr>
        <w:spacing w:after="60" w:before="60"/>
      </w:pPr>
      <w:r>
        <w:t xml:space="preserve"/>
      </w:r>
    </w:p>
    <w:p>
      <w:pPr>
        <w:spacing w:after="120" w:before="100" w:line="340"/>
        <w:jc w:val="left"/>
      </w:pPr>
      <w:r>
        <w:rPr>
          <w:rFonts w:ascii="Calibri" w:cs="Calibri" w:eastAsia="Calibri" w:hAnsi="Calibri"/>
          <w:b w:val="false"/>
          <w:bCs w:val="false"/>
          <w:i w:val="false"/>
          <w:iCs w:val="false"/>
          <w:color w:val="111111"/>
          <w:sz w:val="22"/>
          <w:szCs w:val="22"/>
        </w:rPr>
        <w:t xml:space="preserve">Three variables are continuous numeric: tenure, MonthlyCharges, and TotalCharges. SeniorCitizen is stored as a binary integer. All other variables are categorical, requiring encoding before clustering algorithms could be applied.</w:t>
      </w:r>
    </w:p>
    <w:p>
      <w:pPr>
        <w:spacing w:after="60" w:before="60"/>
      </w:pPr>
      <w:r>
        <w:t xml:space="preserve"/>
      </w:r>
    </w:p>
    <w:p>
      <w:pPr>
        <w:pStyle w:val="Heading2"/>
        <w:spacing w:after="120" w:before="280"/>
      </w:pPr>
      <w:r>
        <w:rPr>
          <w:rFonts w:ascii="Calibri" w:cs="Calibri" w:eastAsia="Calibri" w:hAnsi="Calibri"/>
          <w:b/>
          <w:bCs/>
          <w:color w:val="1A6E82"/>
          <w:sz w:val="28"/>
          <w:szCs w:val="28"/>
        </w:rPr>
        <w:t xml:space="preserve">2.3 Why This Dataset</w:t>
      </w:r>
    </w:p>
    <w:p>
      <w:pPr>
        <w:spacing w:after="120" w:before="100" w:line="340"/>
        <w:jc w:val="left"/>
      </w:pPr>
      <w:r>
        <w:rPr>
          <w:rFonts w:ascii="Calibri" w:cs="Calibri" w:eastAsia="Calibri" w:hAnsi="Calibri"/>
          <w:b w:val="false"/>
          <w:bCs w:val="false"/>
          <w:i w:val="false"/>
          <w:iCs w:val="false"/>
          <w:color w:val="111111"/>
          <w:sz w:val="22"/>
          <w:szCs w:val="22"/>
        </w:rPr>
        <w:t xml:space="preserve">Telecommunications is a sector where customer behaviour varies enormously — a recent subscriber on a premium fiber plan is a completely different risk profile from a two-year DSL veteran on auto-pay. Yet many churn models treat the entire customer base as a single population. This dataset provides enough demographic, service, and billing diversity to test whether a segmented approach reveals structure that a single global model would miss.</w:t>
      </w:r>
    </w:p>
    <w:p>
      <w:r>
        <w:br w:type="page"/>
      </w:r>
    </w:p>
    <w:p>
      <w:pPr>
        <w:pStyle w:val="Heading1"/>
        <w:pBdr>
          <w:bottom w:val="single" w:color="1A6E82" w:sz="8" w:space="4"/>
        </w:pBdr>
        <w:spacing w:after="160" w:before="380"/>
      </w:pPr>
      <w:r>
        <w:rPr>
          <w:rFonts w:ascii="Calibri" w:cs="Calibri" w:eastAsia="Calibri" w:hAnsi="Calibri"/>
          <w:b/>
          <w:bCs/>
          <w:color w:val="1B3A6B"/>
          <w:sz w:val="38"/>
          <w:szCs w:val="38"/>
        </w:rPr>
        <w:t xml:space="preserve">3. Data Exploration and Preparation</w:t>
      </w:r>
    </w:p>
    <w:p>
      <w:pPr>
        <w:pStyle w:val="Heading2"/>
        <w:spacing w:after="120" w:before="280"/>
      </w:pPr>
      <w:r>
        <w:rPr>
          <w:rFonts w:ascii="Calibri" w:cs="Calibri" w:eastAsia="Calibri" w:hAnsi="Calibri"/>
          <w:b/>
          <w:bCs/>
          <w:color w:val="1A6E82"/>
          <w:sz w:val="28"/>
          <w:szCs w:val="28"/>
        </w:rPr>
        <w:t xml:space="preserve">3.1 Initial Findings</w:t>
      </w:r>
    </w:p>
    <w:p>
      <w:pPr>
        <w:spacing w:after="120" w:before="100" w:line="340"/>
        <w:jc w:val="left"/>
      </w:pPr>
      <w:r>
        <w:rPr>
          <w:rFonts w:ascii="Calibri" w:cs="Calibri" w:eastAsia="Calibri" w:hAnsi="Calibri"/>
          <w:b w:val="false"/>
          <w:bCs w:val="false"/>
          <w:i w:val="false"/>
          <w:iCs w:val="false"/>
          <w:color w:val="111111"/>
          <w:sz w:val="22"/>
          <w:szCs w:val="22"/>
        </w:rPr>
        <w:t xml:space="preserve">A thorough exploration of the dataset before any modelling revealed a few important things worth addressing:</w:t>
      </w:r>
    </w:p>
    <w:p>
      <w:pPr>
        <w:spacing w:after="60" w:before="60"/>
      </w:pPr>
      <w:r>
        <w:t xml:space="preserve"/>
      </w:r>
    </w:p>
    <w:p>
      <w:pPr>
        <w:pStyle w:val="ListParagraph"/>
        <w:numPr>
          <w:ilvl w:val="0"/>
          <w:numId w:val="2"/>
        </w:numPr>
        <w:spacing w:after="50" w:before="50" w:line="320"/>
      </w:pPr>
      <w:r>
        <w:rPr>
          <w:rFonts w:ascii="Calibri" w:cs="Calibri" w:eastAsia="Calibri" w:hAnsi="Calibri"/>
          <w:color w:val="111111"/>
          <w:sz w:val="22"/>
          <w:szCs w:val="22"/>
        </w:rPr>
        <w:t xml:space="preserve">TotalCharges contained 11 blank string entries — all belonging to customers with zero tenure (brand-new customers with no bill yet). These were converted to numeric and imputed using the dataset median, since dropping them entirely would have marginally reduced the minority group representation.</w:t>
      </w:r>
    </w:p>
    <w:p>
      <w:pPr>
        <w:pStyle w:val="ListParagraph"/>
        <w:numPr>
          <w:ilvl w:val="0"/>
          <w:numId w:val="2"/>
        </w:numPr>
        <w:spacing w:after="50" w:before="50" w:line="320"/>
      </w:pPr>
      <w:r>
        <w:rPr>
          <w:rFonts w:ascii="Calibri" w:cs="Calibri" w:eastAsia="Calibri" w:hAnsi="Calibri"/>
          <w:color w:val="111111"/>
          <w:sz w:val="22"/>
          <w:szCs w:val="22"/>
        </w:rPr>
        <w:t xml:space="preserve">No duplicate records were found across all 7,043 rows.</w:t>
      </w:r>
    </w:p>
    <w:p>
      <w:pPr>
        <w:pStyle w:val="ListParagraph"/>
        <w:numPr>
          <w:ilvl w:val="0"/>
          <w:numId w:val="2"/>
        </w:numPr>
        <w:spacing w:after="50" w:before="50" w:line="320"/>
      </w:pPr>
      <w:r>
        <w:rPr>
          <w:rFonts w:ascii="Calibri" w:cs="Calibri" w:eastAsia="Calibri" w:hAnsi="Calibri"/>
          <w:color w:val="111111"/>
          <w:sz w:val="22"/>
          <w:szCs w:val="22"/>
        </w:rPr>
        <w:t xml:space="preserve">MonthlyCharges showed a bimodal distribution, hinting at two pricing tiers that later proved important in separating clusters.</w:t>
      </w:r>
    </w:p>
    <w:p>
      <w:pPr>
        <w:pStyle w:val="ListParagraph"/>
        <w:numPr>
          <w:ilvl w:val="0"/>
          <w:numId w:val="2"/>
        </w:numPr>
        <w:spacing w:after="50" w:before="50" w:line="320"/>
      </w:pPr>
      <w:r>
        <w:rPr>
          <w:rFonts w:ascii="Calibri" w:cs="Calibri" w:eastAsia="Calibri" w:hAnsi="Calibri"/>
          <w:color w:val="111111"/>
          <w:sz w:val="22"/>
          <w:szCs w:val="22"/>
        </w:rPr>
        <w:t xml:space="preserve">The Churn variable showed the expected class imbalance — roughly 73% non-churners and 27% churners — but since this was used only for post-hoc validation, no resampling was necessary.</w:t>
      </w:r>
    </w:p>
    <w:p>
      <w:pPr>
        <w:spacing w:after="60" w:before="60"/>
      </w:pPr>
      <w:r>
        <w:t xml:space="preserve"/>
      </w:r>
    </w:p>
    <w:p>
      <w:pPr>
        <w:pStyle w:val="Heading2"/>
        <w:spacing w:after="120" w:before="280"/>
      </w:pPr>
      <w:r>
        <w:rPr>
          <w:rFonts w:ascii="Calibri" w:cs="Calibri" w:eastAsia="Calibri" w:hAnsi="Calibri"/>
          <w:b/>
          <w:bCs/>
          <w:color w:val="1A6E82"/>
          <w:sz w:val="28"/>
          <w:szCs w:val="28"/>
        </w:rPr>
        <w:t xml:space="preserve">3.2 Preprocessing Steps</w:t>
      </w:r>
    </w:p>
    <w:p>
      <w:pPr>
        <w:spacing w:after="120" w:before="100" w:line="340"/>
        <w:jc w:val="left"/>
      </w:pPr>
      <w:r>
        <w:rPr>
          <w:rFonts w:ascii="Calibri" w:cs="Calibri" w:eastAsia="Calibri" w:hAnsi="Calibri"/>
          <w:b w:val="false"/>
          <w:bCs w:val="false"/>
          <w:i w:val="false"/>
          <w:iCs w:val="false"/>
          <w:color w:val="111111"/>
          <w:sz w:val="22"/>
          <w:szCs w:val="22"/>
        </w:rPr>
        <w:t xml:space="preserve">Clustering algorithms are sensitive to data representation, so preprocessing decisions mattered here more than in a straightforward classification task.</w:t>
      </w:r>
    </w:p>
    <w:p>
      <w:pPr>
        <w:spacing w:after="60" w:before="60"/>
      </w:pPr>
      <w:r>
        <w:t xml:space="preserve"/>
      </w:r>
    </w:p>
    <w:p>
      <w:pPr>
        <w:spacing w:after="120" w:before="100" w:line="340"/>
        <w:jc w:val="left"/>
      </w:pPr>
      <w:r>
        <w:rPr>
          <w:rFonts w:ascii="Calibri" w:cs="Calibri" w:eastAsia="Calibri" w:hAnsi="Calibri"/>
          <w:b w:val="false"/>
          <w:bCs w:val="false"/>
          <w:color w:val="111111"/>
          <w:sz w:val="22"/>
          <w:szCs w:val="22"/>
        </w:rPr>
        <w:t xml:space="preserve">Binary categorical features</w:t>
      </w:r>
      <w:r>
        <w:rPr>
          <w:rFonts w:ascii="Calibri" w:cs="Calibri" w:eastAsia="Calibri" w:hAnsi="Calibri"/>
          <w:b w:val="false"/>
          <w:bCs w:val="false"/>
          <w:color w:val="111111"/>
          <w:sz w:val="22"/>
          <w:szCs w:val="22"/>
        </w:rPr>
        <w:t xml:space="preserve"> (gender, Partner, Dependents, PhoneService, PaperlessBilling) were label-encoded to 0/1, which is appropriate when there are exactly two categories and no ordinal assumption is implied.</w:t>
      </w:r>
    </w:p>
    <w:p>
      <w:pPr>
        <w:spacing w:after="60" w:before="60"/>
      </w:pPr>
      <w:r>
        <w:t xml:space="preserve"/>
      </w:r>
    </w:p>
    <w:p>
      <w:pPr>
        <w:spacing w:after="120" w:before="100" w:line="340"/>
        <w:jc w:val="left"/>
      </w:pPr>
      <w:r>
        <w:rPr>
          <w:rFonts w:ascii="Calibri" w:cs="Calibri" w:eastAsia="Calibri" w:hAnsi="Calibri"/>
          <w:b w:val="false"/>
          <w:bCs w:val="false"/>
          <w:color w:val="111111"/>
          <w:sz w:val="22"/>
          <w:szCs w:val="22"/>
        </w:rPr>
        <w:t xml:space="preserve">Multi-class nominal variables</w:t>
      </w:r>
      <w:r>
        <w:rPr>
          <w:rFonts w:ascii="Calibri" w:cs="Calibri" w:eastAsia="Calibri" w:hAnsi="Calibri"/>
          <w:b w:val="false"/>
          <w:bCs w:val="false"/>
          <w:color w:val="111111"/>
          <w:sz w:val="22"/>
          <w:szCs w:val="22"/>
        </w:rPr>
        <w:t xml:space="preserve"> (InternetService, Contract, PaymentMethod, and all add-on service flags) were one-hot encoded. The first dummy was dropped per variable to avoid the dummy variable trap. This expanded the feature space from 20 to 32 columns.</w:t>
      </w:r>
    </w:p>
    <w:p>
      <w:pPr>
        <w:spacing w:after="60" w:before="60"/>
      </w:pPr>
      <w:r>
        <w:t xml:space="preserve"/>
      </w:r>
    </w:p>
    <w:p>
      <w:pPr>
        <w:spacing w:after="120" w:before="100" w:line="340"/>
        <w:jc w:val="left"/>
      </w:pPr>
      <w:r>
        <w:rPr>
          <w:rFonts w:ascii="Calibri" w:cs="Calibri" w:eastAsia="Calibri" w:hAnsi="Calibri"/>
          <w:b w:val="false"/>
          <w:bCs w:val="false"/>
          <w:color w:val="111111"/>
          <w:sz w:val="22"/>
          <w:szCs w:val="22"/>
        </w:rPr>
        <w:t xml:space="preserve">Numeric variables</w:t>
      </w:r>
      <w:r>
        <w:rPr>
          <w:rFonts w:ascii="Calibri" w:cs="Calibri" w:eastAsia="Calibri" w:hAnsi="Calibri"/>
          <w:b w:val="false"/>
          <w:bCs w:val="false"/>
          <w:color w:val="111111"/>
          <w:sz w:val="22"/>
          <w:szCs w:val="22"/>
        </w:rPr>
        <w:t xml:space="preserve"> — tenure, MonthlyCharges, and TotalCharges — were standardised using StandardScaler. This step is critical for K-Means and hierarchical clustering, which are distance-based methods and would otherwise be dominated by the TotalCharges variable whose raw range (up to $8,000+) dwarfs everything else.</w:t>
      </w:r>
    </w:p>
    <w:p>
      <w:pPr>
        <w:spacing w:after="60" w:before="60"/>
      </w:pPr>
      <w:r>
        <w:t xml:space="preserve"/>
      </w:r>
    </w:p>
    <w:p>
      <w:pPr>
        <w:spacing w:after="120" w:before="100" w:line="340"/>
        <w:jc w:val="left"/>
      </w:pPr>
      <w:r>
        <w:rPr>
          <w:rFonts w:ascii="Calibri" w:cs="Calibri" w:eastAsia="Calibri" w:hAnsi="Calibri"/>
          <w:b w:val="false"/>
          <w:bCs w:val="false"/>
          <w:i w:val="false"/>
          <w:iCs w:val="false"/>
          <w:color w:val="111111"/>
          <w:sz w:val="22"/>
          <w:szCs w:val="22"/>
        </w:rPr>
        <w:t xml:space="preserve">The customerID column was removed prior to any analysis, as it carries no structural information.</w:t>
      </w:r>
    </w:p>
    <w:p>
      <w:pPr>
        <w:spacing w:after="60" w:before="60"/>
      </w:pPr>
      <w:r>
        <w:t xml:space="preserve"/>
      </w:r>
    </w:p>
    <w:p>
      <w:pPr>
        <w:pStyle w:val="Heading2"/>
        <w:spacing w:after="120" w:before="280"/>
      </w:pPr>
      <w:r>
        <w:rPr>
          <w:rFonts w:ascii="Calibri" w:cs="Calibri" w:eastAsia="Calibri" w:hAnsi="Calibri"/>
          <w:b/>
          <w:bCs/>
          <w:color w:val="1A6E82"/>
          <w:sz w:val="28"/>
          <w:szCs w:val="28"/>
        </w:rPr>
        <w:t xml:space="preserve">3.3 Dimensionality Reduction with PCA</w:t>
      </w:r>
    </w:p>
    <w:p>
      <w:pPr>
        <w:spacing w:after="120" w:before="100" w:line="340"/>
        <w:jc w:val="left"/>
      </w:pPr>
      <w:r>
        <w:rPr>
          <w:rFonts w:ascii="Calibri" w:cs="Calibri" w:eastAsia="Calibri" w:hAnsi="Calibri"/>
          <w:b w:val="false"/>
          <w:bCs w:val="false"/>
          <w:i w:val="false"/>
          <w:iCs w:val="false"/>
          <w:color w:val="111111"/>
          <w:sz w:val="22"/>
          <w:szCs w:val="22"/>
        </w:rPr>
        <w:t xml:space="preserve">Before running the clustering models, Principal Component Analysis (PCA) was applied to the 32-column standardised feature matrix. This served two purposes: it helped visualise the dataset in two dimensions to check whether natural groupings were visible, and it informed the feature loading analysis that later explained which variables drive the most variation in the data.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gridSpan w:val="1"/>
            <w:tcBorders>
              <w:top w:val="single" w:color="AACCD6" w:sz="1"/>
              <w:left w:val="single" w:color="AACCD6" w:sz="1"/>
              <w:bottom w:val="single" w:color="AACCD6" w:sz="1"/>
              <w:right w:val="single" w:color="AACCD6" w:sz="1"/>
            </w:tcBorders>
            <w:shd w:fill="D4EAF0" w:val="clear"/>
            <w:tcMar>
              <w:top w:type="dxa" w:w="80"/>
              <w:left w:type="dxa" w:w="130"/>
              <w:bottom w:type="dxa" w:w="80"/>
              <w:right w:type="dxa" w:w="130"/>
            </w:tcMar>
            <w:vAlign w:val="center"/>
          </w:tcPr>
          <w:p>
            <w:pPr>
              <w:jc w:val="left"/>
            </w:pPr>
            <w:r>
              <w:rPr>
                <w:rFonts w:ascii="Calibri" w:cs="Calibri" w:eastAsia="Calibri" w:hAnsi="Calibri"/>
                <w:b/>
                <w:bCs/>
                <w:i w:val="false"/>
                <w:iCs w:val="false"/>
                <w:color w:val="1B3A6B"/>
                <w:sz w:val="20"/>
                <w:szCs w:val="20"/>
              </w:rPr>
              <w:t xml:space="preserve">Component</w:t>
            </w:r>
          </w:p>
        </w:tc>
        <w:tc>
          <w:tcPr>
            <w:tcW w:type="dxa" w:w="2000"/>
            <w:gridSpan w:val="1"/>
            <w:tcBorders>
              <w:top w:val="single" w:color="AACCD6" w:sz="1"/>
              <w:left w:val="single" w:color="AACCD6" w:sz="1"/>
              <w:bottom w:val="single" w:color="AACCD6" w:sz="1"/>
              <w:right w:val="single" w:color="AACCD6" w:sz="1"/>
            </w:tcBorders>
            <w:shd w:fill="D4EAF0" w:val="clear"/>
            <w:tcMar>
              <w:top w:type="dxa" w:w="80"/>
              <w:left w:type="dxa" w:w="130"/>
              <w:bottom w:type="dxa" w:w="80"/>
              <w:right w:type="dxa" w:w="130"/>
            </w:tcMar>
            <w:vAlign w:val="center"/>
          </w:tcPr>
          <w:p>
            <w:pPr>
              <w:jc w:val="left"/>
            </w:pPr>
            <w:r>
              <w:rPr>
                <w:rFonts w:ascii="Calibri" w:cs="Calibri" w:eastAsia="Calibri" w:hAnsi="Calibri"/>
                <w:b/>
                <w:bCs/>
                <w:i w:val="false"/>
                <w:iCs w:val="false"/>
                <w:color w:val="1B3A6B"/>
                <w:sz w:val="20"/>
                <w:szCs w:val="20"/>
              </w:rPr>
              <w:t xml:space="preserve">Variance Explained</w:t>
            </w:r>
          </w:p>
        </w:tc>
        <w:tc>
          <w:tcPr>
            <w:tcW w:type="dxa" w:w="2000"/>
            <w:gridSpan w:val="1"/>
            <w:tcBorders>
              <w:top w:val="single" w:color="AACCD6" w:sz="1"/>
              <w:left w:val="single" w:color="AACCD6" w:sz="1"/>
              <w:bottom w:val="single" w:color="AACCD6" w:sz="1"/>
              <w:right w:val="single" w:color="AACCD6" w:sz="1"/>
            </w:tcBorders>
            <w:shd w:fill="D4EAF0" w:val="clear"/>
            <w:tcMar>
              <w:top w:type="dxa" w:w="80"/>
              <w:left w:type="dxa" w:w="130"/>
              <w:bottom w:type="dxa" w:w="80"/>
              <w:right w:type="dxa" w:w="130"/>
            </w:tcMar>
            <w:vAlign w:val="center"/>
          </w:tcPr>
          <w:p>
            <w:pPr>
              <w:jc w:val="left"/>
            </w:pPr>
            <w:r>
              <w:rPr>
                <w:rFonts w:ascii="Calibri" w:cs="Calibri" w:eastAsia="Calibri" w:hAnsi="Calibri"/>
                <w:b/>
                <w:bCs/>
                <w:i w:val="false"/>
                <w:iCs w:val="false"/>
                <w:color w:val="1B3A6B"/>
                <w:sz w:val="20"/>
                <w:szCs w:val="20"/>
              </w:rPr>
              <w:t xml:space="preserve">Cumulative</w:t>
            </w:r>
          </w:p>
        </w:tc>
        <w:tc>
          <w:tcPr>
            <w:tcW w:type="dxa" w:w="3360"/>
            <w:gridSpan w:val="1"/>
            <w:tcBorders>
              <w:top w:val="single" w:color="AACCD6" w:sz="1"/>
              <w:left w:val="single" w:color="AACCD6" w:sz="1"/>
              <w:bottom w:val="single" w:color="AACCD6" w:sz="1"/>
              <w:right w:val="single" w:color="AACCD6" w:sz="1"/>
            </w:tcBorders>
            <w:shd w:fill="D4EAF0" w:val="clear"/>
            <w:tcMar>
              <w:top w:type="dxa" w:w="80"/>
              <w:left w:type="dxa" w:w="130"/>
              <w:bottom w:type="dxa" w:w="80"/>
              <w:right w:type="dxa" w:w="130"/>
            </w:tcMar>
            <w:vAlign w:val="center"/>
          </w:tcPr>
          <w:p>
            <w:pPr>
              <w:jc w:val="left"/>
            </w:pPr>
            <w:r>
              <w:rPr>
                <w:rFonts w:ascii="Calibri" w:cs="Calibri" w:eastAsia="Calibri" w:hAnsi="Calibri"/>
                <w:b/>
                <w:bCs/>
                <w:i w:val="false"/>
                <w:iCs w:val="false"/>
                <w:color w:val="1B3A6B"/>
                <w:sz w:val="20"/>
                <w:szCs w:val="20"/>
              </w:rPr>
              <w:t xml:space="preserve">Dominant Features</w:t>
            </w:r>
          </w:p>
        </w:tc>
      </w:tr>
      <w:tr>
        <w:tc>
          <w:tcPr>
            <w:tcW w:type="dxa" w:w="200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center"/>
            </w:pPr>
            <w:r>
              <w:rPr>
                <w:rFonts w:ascii="Calibri" w:cs="Calibri" w:eastAsia="Calibri" w:hAnsi="Calibri"/>
                <w:b/>
                <w:bCs/>
                <w:i w:val="false"/>
                <w:iCs w:val="false"/>
                <w:color w:val="111111"/>
                <w:sz w:val="20"/>
                <w:szCs w:val="20"/>
              </w:rPr>
              <w:t xml:space="preserve">PC1</w:t>
            </w:r>
          </w:p>
        </w:tc>
        <w:tc>
          <w:tcPr>
            <w:tcW w:type="dxa" w:w="200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111111"/>
                <w:sz w:val="20"/>
                <w:szCs w:val="20"/>
              </w:rPr>
              <w:t xml:space="preserve">31.4%</w:t>
            </w:r>
          </w:p>
        </w:tc>
        <w:tc>
          <w:tcPr>
            <w:tcW w:type="dxa" w:w="200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111111"/>
                <w:sz w:val="20"/>
                <w:szCs w:val="20"/>
              </w:rPr>
              <w:t xml:space="preserve">31.4%</w:t>
            </w:r>
          </w:p>
        </w:tc>
        <w:tc>
          <w:tcPr>
            <w:tcW w:type="dxa" w:w="336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tenure, TotalCharges, Contract type</w:t>
            </w:r>
          </w:p>
        </w:tc>
      </w:tr>
      <w:tr>
        <w:tc>
          <w:tcPr>
            <w:tcW w:type="dxa" w:w="200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center"/>
            </w:pPr>
            <w:r>
              <w:rPr>
                <w:rFonts w:ascii="Calibri" w:cs="Calibri" w:eastAsia="Calibri" w:hAnsi="Calibri"/>
                <w:b/>
                <w:bCs/>
                <w:i w:val="false"/>
                <w:iCs w:val="false"/>
                <w:color w:val="111111"/>
                <w:sz w:val="20"/>
                <w:szCs w:val="20"/>
              </w:rPr>
              <w:t xml:space="preserve">PC2</w:t>
            </w:r>
          </w:p>
        </w:tc>
        <w:tc>
          <w:tcPr>
            <w:tcW w:type="dxa" w:w="200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111111"/>
                <w:sz w:val="20"/>
                <w:szCs w:val="20"/>
              </w:rPr>
              <w:t xml:space="preserve">18.7%</w:t>
            </w:r>
          </w:p>
        </w:tc>
        <w:tc>
          <w:tcPr>
            <w:tcW w:type="dxa" w:w="200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111111"/>
                <w:sz w:val="20"/>
                <w:szCs w:val="20"/>
              </w:rPr>
              <w:t xml:space="preserve">50.1%</w:t>
            </w:r>
          </w:p>
        </w:tc>
        <w:tc>
          <w:tcPr>
            <w:tcW w:type="dxa" w:w="336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MonthlyCharges, InternetService, Fiber</w:t>
            </w:r>
          </w:p>
        </w:tc>
      </w:tr>
      <w:tr>
        <w:tc>
          <w:tcPr>
            <w:tcW w:type="dxa" w:w="200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center"/>
            </w:pPr>
            <w:r>
              <w:rPr>
                <w:rFonts w:ascii="Calibri" w:cs="Calibri" w:eastAsia="Calibri" w:hAnsi="Calibri"/>
                <w:b/>
                <w:bCs/>
                <w:i w:val="false"/>
                <w:iCs w:val="false"/>
                <w:color w:val="111111"/>
                <w:sz w:val="20"/>
                <w:szCs w:val="20"/>
              </w:rPr>
              <w:t xml:space="preserve">PC3</w:t>
            </w:r>
          </w:p>
        </w:tc>
        <w:tc>
          <w:tcPr>
            <w:tcW w:type="dxa" w:w="200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111111"/>
                <w:sz w:val="20"/>
                <w:szCs w:val="20"/>
              </w:rPr>
              <w:t xml:space="preserve">11.2%</w:t>
            </w:r>
          </w:p>
        </w:tc>
        <w:tc>
          <w:tcPr>
            <w:tcW w:type="dxa" w:w="200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111111"/>
                <w:sz w:val="20"/>
                <w:szCs w:val="20"/>
              </w:rPr>
              <w:t xml:space="preserve">61.3%</w:t>
            </w:r>
          </w:p>
        </w:tc>
        <w:tc>
          <w:tcPr>
            <w:tcW w:type="dxa" w:w="336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Add-on services (Security, TechSupport)</w:t>
            </w:r>
          </w:p>
        </w:tc>
      </w:tr>
      <w:tr>
        <w:tc>
          <w:tcPr>
            <w:tcW w:type="dxa" w:w="200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center"/>
            </w:pPr>
            <w:r>
              <w:rPr>
                <w:rFonts w:ascii="Calibri" w:cs="Calibri" w:eastAsia="Calibri" w:hAnsi="Calibri"/>
                <w:b/>
                <w:bCs/>
                <w:i w:val="false"/>
                <w:iCs w:val="false"/>
                <w:color w:val="111111"/>
                <w:sz w:val="20"/>
                <w:szCs w:val="20"/>
              </w:rPr>
              <w:t xml:space="preserve">PC4</w:t>
            </w:r>
          </w:p>
        </w:tc>
        <w:tc>
          <w:tcPr>
            <w:tcW w:type="dxa" w:w="200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111111"/>
                <w:sz w:val="20"/>
                <w:szCs w:val="20"/>
              </w:rPr>
              <w:t xml:space="preserve">8.9%</w:t>
            </w:r>
          </w:p>
        </w:tc>
        <w:tc>
          <w:tcPr>
            <w:tcW w:type="dxa" w:w="200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111111"/>
                <w:sz w:val="20"/>
                <w:szCs w:val="20"/>
              </w:rPr>
              <w:t xml:space="preserve">70.2%</w:t>
            </w:r>
          </w:p>
        </w:tc>
        <w:tc>
          <w:tcPr>
            <w:tcW w:type="dxa" w:w="336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PaymentMethod, PaperlessBilling</w:t>
            </w:r>
          </w:p>
        </w:tc>
      </w:tr>
      <w:tr>
        <w:tc>
          <w:tcPr>
            <w:tcW w:type="dxa" w:w="200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center"/>
            </w:pPr>
            <w:r>
              <w:rPr>
                <w:rFonts w:ascii="Calibri" w:cs="Calibri" w:eastAsia="Calibri" w:hAnsi="Calibri"/>
                <w:b/>
                <w:bCs/>
                <w:i w:val="false"/>
                <w:iCs w:val="false"/>
                <w:color w:val="111111"/>
                <w:sz w:val="20"/>
                <w:szCs w:val="20"/>
              </w:rPr>
              <w:t xml:space="preserve">PC5</w:t>
            </w:r>
          </w:p>
        </w:tc>
        <w:tc>
          <w:tcPr>
            <w:tcW w:type="dxa" w:w="200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111111"/>
                <w:sz w:val="20"/>
                <w:szCs w:val="20"/>
              </w:rPr>
              <w:t xml:space="preserve">6.1%</w:t>
            </w:r>
          </w:p>
        </w:tc>
        <w:tc>
          <w:tcPr>
            <w:tcW w:type="dxa" w:w="200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111111"/>
                <w:sz w:val="20"/>
                <w:szCs w:val="20"/>
              </w:rPr>
              <w:t xml:space="preserve">76.3%</w:t>
            </w:r>
          </w:p>
        </w:tc>
        <w:tc>
          <w:tcPr>
            <w:tcW w:type="dxa" w:w="336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Demographics (SeniorCitizen, gender)</w:t>
            </w:r>
          </w:p>
        </w:tc>
      </w:tr>
    </w:tbl>
    <w:p>
      <w:pPr>
        <w:spacing w:after="60" w:before="60"/>
      </w:pPr>
      <w:r>
        <w:t xml:space="preserve"/>
      </w:r>
    </w:p>
    <w:p>
      <w:pPr>
        <w:spacing w:after="120" w:before="100" w:line="340"/>
        <w:jc w:val="left"/>
      </w:pPr>
      <w:r>
        <w:rPr>
          <w:rFonts w:ascii="Calibri" w:cs="Calibri" w:eastAsia="Calibri" w:hAnsi="Calibri"/>
          <w:b w:val="false"/>
          <w:bCs w:val="false"/>
          <w:i w:val="false"/>
          <w:iCs w:val="false"/>
          <w:color w:val="111111"/>
          <w:sz w:val="22"/>
          <w:szCs w:val="22"/>
        </w:rPr>
        <w:t xml:space="preserve">The first five principal components together explain about 76% of total variance. The first component is almost entirely dominated by tenure and contract-related features — essentially a "loyalty axis." The second component captures billing intensity, particularly driven by fiber optic subscribers. This two-axis structure already suggested that three coherent customer groups might exist in the data, which was later confirmed by the clustering results.</w:t>
      </w:r>
    </w:p>
    <w:p>
      <w:r>
        <w:br w:type="page"/>
      </w:r>
    </w:p>
    <w:p>
      <w:pPr>
        <w:pStyle w:val="Heading1"/>
        <w:pBdr>
          <w:bottom w:val="single" w:color="1A6E82" w:sz="8" w:space="4"/>
        </w:pBdr>
        <w:spacing w:after="160" w:before="380"/>
      </w:pPr>
      <w:r>
        <w:rPr>
          <w:rFonts w:ascii="Calibri" w:cs="Calibri" w:eastAsia="Calibri" w:hAnsi="Calibri"/>
          <w:b/>
          <w:bCs/>
          <w:color w:val="1B3A6B"/>
          <w:sz w:val="38"/>
          <w:szCs w:val="38"/>
        </w:rPr>
        <w:t xml:space="preserve">4. Unsupervised Model Variations</w:t>
      </w:r>
    </w:p>
    <w:p>
      <w:pPr>
        <w:spacing w:after="120" w:before="100" w:line="340"/>
        <w:jc w:val="left"/>
      </w:pPr>
      <w:r>
        <w:rPr>
          <w:rFonts w:ascii="Calibri" w:cs="Calibri" w:eastAsia="Calibri" w:hAnsi="Calibri"/>
          <w:b w:val="false"/>
          <w:bCs w:val="false"/>
          <w:i w:val="false"/>
          <w:iCs w:val="false"/>
          <w:color w:val="111111"/>
          <w:sz w:val="22"/>
          <w:szCs w:val="22"/>
        </w:rPr>
        <w:t xml:space="preserve">Six model variants were trained and compared. All models used the same preprocessed 32-column standardised dataset, and a consistent random seed (42) was applied across K-Means and hierarchical runs to ensure reproducibility. The two primary internal evaluation metrics used were:</w:t>
      </w:r>
    </w:p>
    <w:p>
      <w:pPr>
        <w:spacing w:after="60" w:before="60"/>
      </w:pPr>
      <w:r>
        <w:t xml:space="preserve"/>
      </w:r>
    </w:p>
    <w:p>
      <w:pPr>
        <w:pStyle w:val="ListParagraph"/>
        <w:numPr>
          <w:ilvl w:val="0"/>
          <w:numId w:val="2"/>
        </w:numPr>
        <w:spacing w:after="50" w:before="50" w:line="320"/>
      </w:pPr>
      <w:r>
        <w:rPr>
          <w:rFonts w:ascii="Calibri" w:cs="Calibri" w:eastAsia="Calibri" w:hAnsi="Calibri"/>
          <w:color w:val="111111"/>
          <w:sz w:val="22"/>
          <w:szCs w:val="22"/>
        </w:rPr>
        <w:t xml:space="preserve">Silhouette Score: measures how similar each point is to its own cluster compared to other clusters. Values range from -1 to +1; higher is better.</w:t>
      </w:r>
    </w:p>
    <w:p>
      <w:pPr>
        <w:pStyle w:val="ListParagraph"/>
        <w:numPr>
          <w:ilvl w:val="0"/>
          <w:numId w:val="2"/>
        </w:numPr>
        <w:spacing w:after="50" w:before="50" w:line="320"/>
      </w:pPr>
      <w:r>
        <w:rPr>
          <w:rFonts w:ascii="Calibri" w:cs="Calibri" w:eastAsia="Calibri" w:hAnsi="Calibri"/>
          <w:color w:val="111111"/>
          <w:sz w:val="22"/>
          <w:szCs w:val="22"/>
        </w:rPr>
        <w:t xml:space="preserve">Calinski-Harabasz (CH) Index: the ratio of between-cluster dispersion to within-cluster dispersion. Higher values indicate more compact, well-separated clusters.</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500"/>
        <w:gridCol w:w="1560"/>
        <w:gridCol w:w="2700"/>
      </w:tblGrid>
      <w:tr>
        <w:trPr>
          <w:tblHeader/>
        </w:trPr>
        <w:tc>
          <w:tcPr>
            <w:tcW w:type="dxa" w:w="2100"/>
            <w:gridSpan w:val="1"/>
            <w:tcBorders>
              <w:top w:val="single" w:color="AACCD6" w:sz="1"/>
              <w:left w:val="single" w:color="AACCD6" w:sz="1"/>
              <w:bottom w:val="single" w:color="AACCD6" w:sz="1"/>
              <w:right w:val="single" w:color="AACCD6" w:sz="1"/>
            </w:tcBorders>
            <w:shd w:fill="D4EAF0" w:val="clear"/>
            <w:tcMar>
              <w:top w:type="dxa" w:w="80"/>
              <w:left w:type="dxa" w:w="130"/>
              <w:bottom w:type="dxa" w:w="80"/>
              <w:right w:type="dxa" w:w="130"/>
            </w:tcMar>
            <w:vAlign w:val="center"/>
          </w:tcPr>
          <w:p>
            <w:pPr>
              <w:jc w:val="left"/>
            </w:pPr>
            <w:r>
              <w:rPr>
                <w:rFonts w:ascii="Calibri" w:cs="Calibri" w:eastAsia="Calibri" w:hAnsi="Calibri"/>
                <w:b/>
                <w:bCs/>
                <w:i w:val="false"/>
                <w:iCs w:val="false"/>
                <w:color w:val="1B3A6B"/>
                <w:sz w:val="20"/>
                <w:szCs w:val="20"/>
              </w:rPr>
              <w:t xml:space="preserve">Model Variant</w:t>
            </w:r>
          </w:p>
        </w:tc>
        <w:tc>
          <w:tcPr>
            <w:tcW w:type="dxa" w:w="1500"/>
            <w:gridSpan w:val="1"/>
            <w:tcBorders>
              <w:top w:val="single" w:color="AACCD6" w:sz="1"/>
              <w:left w:val="single" w:color="AACCD6" w:sz="1"/>
              <w:bottom w:val="single" w:color="AACCD6" w:sz="1"/>
              <w:right w:val="single" w:color="AACCD6" w:sz="1"/>
            </w:tcBorders>
            <w:shd w:fill="D4EAF0" w:val="clear"/>
            <w:tcMar>
              <w:top w:type="dxa" w:w="80"/>
              <w:left w:type="dxa" w:w="130"/>
              <w:bottom w:type="dxa" w:w="80"/>
              <w:right w:type="dxa" w:w="130"/>
            </w:tcMar>
            <w:vAlign w:val="center"/>
          </w:tcPr>
          <w:p>
            <w:pPr>
              <w:jc w:val="left"/>
            </w:pPr>
            <w:r>
              <w:rPr>
                <w:rFonts w:ascii="Calibri" w:cs="Calibri" w:eastAsia="Calibri" w:hAnsi="Calibri"/>
                <w:b/>
                <w:bCs/>
                <w:i w:val="false"/>
                <w:iCs w:val="false"/>
                <w:color w:val="1B3A6B"/>
                <w:sz w:val="20"/>
                <w:szCs w:val="20"/>
              </w:rPr>
              <w:t xml:space="preserve">Clusters</w:t>
            </w:r>
          </w:p>
        </w:tc>
        <w:tc>
          <w:tcPr>
            <w:tcW w:type="dxa" w:w="1500"/>
            <w:gridSpan w:val="1"/>
            <w:tcBorders>
              <w:top w:val="single" w:color="AACCD6" w:sz="1"/>
              <w:left w:val="single" w:color="AACCD6" w:sz="1"/>
              <w:bottom w:val="single" w:color="AACCD6" w:sz="1"/>
              <w:right w:val="single" w:color="AACCD6" w:sz="1"/>
            </w:tcBorders>
            <w:shd w:fill="D4EAF0" w:val="clear"/>
            <w:tcMar>
              <w:top w:type="dxa" w:w="80"/>
              <w:left w:type="dxa" w:w="130"/>
              <w:bottom w:type="dxa" w:w="80"/>
              <w:right w:type="dxa" w:w="130"/>
            </w:tcMar>
            <w:vAlign w:val="center"/>
          </w:tcPr>
          <w:p>
            <w:pPr>
              <w:jc w:val="left"/>
            </w:pPr>
            <w:r>
              <w:rPr>
                <w:rFonts w:ascii="Calibri" w:cs="Calibri" w:eastAsia="Calibri" w:hAnsi="Calibri"/>
                <w:b/>
                <w:bCs/>
                <w:i w:val="false"/>
                <w:iCs w:val="false"/>
                <w:color w:val="1B3A6B"/>
                <w:sz w:val="20"/>
                <w:szCs w:val="20"/>
              </w:rPr>
              <w:t xml:space="preserve">Silhouette</w:t>
            </w:r>
          </w:p>
        </w:tc>
        <w:tc>
          <w:tcPr>
            <w:tcW w:type="dxa" w:w="1560"/>
            <w:gridSpan w:val="1"/>
            <w:tcBorders>
              <w:top w:val="single" w:color="AACCD6" w:sz="1"/>
              <w:left w:val="single" w:color="AACCD6" w:sz="1"/>
              <w:bottom w:val="single" w:color="AACCD6" w:sz="1"/>
              <w:right w:val="single" w:color="AACCD6" w:sz="1"/>
            </w:tcBorders>
            <w:shd w:fill="D4EAF0" w:val="clear"/>
            <w:tcMar>
              <w:top w:type="dxa" w:w="80"/>
              <w:left w:type="dxa" w:w="130"/>
              <w:bottom w:type="dxa" w:w="80"/>
              <w:right w:type="dxa" w:w="130"/>
            </w:tcMar>
            <w:vAlign w:val="center"/>
          </w:tcPr>
          <w:p>
            <w:pPr>
              <w:jc w:val="left"/>
            </w:pPr>
            <w:r>
              <w:rPr>
                <w:rFonts w:ascii="Calibri" w:cs="Calibri" w:eastAsia="Calibri" w:hAnsi="Calibri"/>
                <w:b/>
                <w:bCs/>
                <w:i w:val="false"/>
                <w:iCs w:val="false"/>
                <w:color w:val="1B3A6B"/>
                <w:sz w:val="20"/>
                <w:szCs w:val="20"/>
              </w:rPr>
              <w:t xml:space="preserve">CH Index (norm)</w:t>
            </w:r>
          </w:p>
        </w:tc>
        <w:tc>
          <w:tcPr>
            <w:tcW w:type="dxa" w:w="2700"/>
            <w:gridSpan w:val="1"/>
            <w:tcBorders>
              <w:top w:val="single" w:color="AACCD6" w:sz="1"/>
              <w:left w:val="single" w:color="AACCD6" w:sz="1"/>
              <w:bottom w:val="single" w:color="AACCD6" w:sz="1"/>
              <w:right w:val="single" w:color="AACCD6" w:sz="1"/>
            </w:tcBorders>
            <w:shd w:fill="D4EAF0" w:val="clear"/>
            <w:tcMar>
              <w:top w:type="dxa" w:w="80"/>
              <w:left w:type="dxa" w:w="130"/>
              <w:bottom w:type="dxa" w:w="80"/>
              <w:right w:type="dxa" w:w="130"/>
            </w:tcMar>
            <w:vAlign w:val="center"/>
          </w:tcPr>
          <w:p>
            <w:pPr>
              <w:jc w:val="left"/>
            </w:pPr>
            <w:r>
              <w:rPr>
                <w:rFonts w:ascii="Calibri" w:cs="Calibri" w:eastAsia="Calibri" w:hAnsi="Calibri"/>
                <w:b/>
                <w:bCs/>
                <w:i w:val="false"/>
                <w:iCs w:val="false"/>
                <w:color w:val="1B3A6B"/>
                <w:sz w:val="20"/>
                <w:szCs w:val="20"/>
              </w:rPr>
              <w:t xml:space="preserve">Notes</w:t>
            </w:r>
          </w:p>
        </w:tc>
      </w:tr>
      <w:tr>
        <w:tc>
          <w:tcPr>
            <w:tcW w:type="dxa" w:w="2100"/>
            <w:gridSpan w:val="1"/>
            <w:tcBorders>
              <w:top w:val="single" w:color="AACCD6" w:sz="1"/>
              <w:left w:val="single" w:color="AACCD6" w:sz="1"/>
              <w:bottom w:val="single" w:color="AACCD6" w:sz="1"/>
              <w:right w:val="single" w:color="AACCD6" w:sz="1"/>
            </w:tcBorders>
            <w:shd w:fill="E8F4E8" w:val="clear"/>
            <w:tcMar>
              <w:top w:type="dxa" w:w="80"/>
              <w:left w:type="dxa" w:w="130"/>
              <w:bottom w:type="dxa" w:w="80"/>
              <w:right w:type="dxa" w:w="130"/>
            </w:tcMar>
            <w:vAlign w:val="center"/>
          </w:tcPr>
          <w:p>
            <w:pPr>
              <w:jc w:val="left"/>
            </w:pPr>
            <w:r>
              <w:rPr>
                <w:rFonts w:ascii="Calibri" w:cs="Calibri" w:eastAsia="Calibri" w:hAnsi="Calibri"/>
                <w:b/>
                <w:bCs/>
                <w:i w:val="false"/>
                <w:iCs w:val="false"/>
                <w:color w:val="111111"/>
                <w:sz w:val="20"/>
                <w:szCs w:val="20"/>
              </w:rPr>
              <w:t xml:space="preserve">K-Means  (k = 3)</w:t>
            </w:r>
          </w:p>
        </w:tc>
        <w:tc>
          <w:tcPr>
            <w:tcW w:type="dxa" w:w="1500"/>
            <w:gridSpan w:val="1"/>
            <w:tcBorders>
              <w:top w:val="single" w:color="AACCD6" w:sz="1"/>
              <w:left w:val="single" w:color="AACCD6" w:sz="1"/>
              <w:bottom w:val="single" w:color="AACCD6" w:sz="1"/>
              <w:right w:val="single" w:color="AACCD6" w:sz="1"/>
            </w:tcBorders>
            <w:shd w:fill="E8F4E8"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111111"/>
                <w:sz w:val="20"/>
                <w:szCs w:val="20"/>
              </w:rPr>
              <w:t xml:space="preserve">3</w:t>
            </w:r>
          </w:p>
        </w:tc>
        <w:tc>
          <w:tcPr>
            <w:tcW w:type="dxa" w:w="1500"/>
            <w:gridSpan w:val="1"/>
            <w:tcBorders>
              <w:top w:val="single" w:color="AACCD6" w:sz="1"/>
              <w:left w:val="single" w:color="AACCD6" w:sz="1"/>
              <w:bottom w:val="single" w:color="AACCD6" w:sz="1"/>
              <w:right w:val="single" w:color="AACCD6" w:sz="1"/>
            </w:tcBorders>
            <w:shd w:fill="E8F4E8" w:val="clear"/>
            <w:tcMar>
              <w:top w:type="dxa" w:w="80"/>
              <w:left w:type="dxa" w:w="130"/>
              <w:bottom w:type="dxa" w:w="80"/>
              <w:right w:type="dxa" w:w="130"/>
            </w:tcMar>
            <w:vAlign w:val="center"/>
          </w:tcPr>
          <w:p>
            <w:pPr>
              <w:jc w:val="center"/>
            </w:pPr>
            <w:r>
              <w:rPr>
                <w:rFonts w:ascii="Calibri" w:cs="Calibri" w:eastAsia="Calibri" w:hAnsi="Calibri"/>
                <w:b/>
                <w:bCs/>
                <w:i w:val="false"/>
                <w:iCs w:val="false"/>
                <w:color w:val="111111"/>
                <w:sz w:val="20"/>
                <w:szCs w:val="20"/>
              </w:rPr>
              <w:t xml:space="preserve">0.214</w:t>
            </w:r>
          </w:p>
        </w:tc>
        <w:tc>
          <w:tcPr>
            <w:tcW w:type="dxa" w:w="1560"/>
            <w:gridSpan w:val="1"/>
            <w:tcBorders>
              <w:top w:val="single" w:color="AACCD6" w:sz="1"/>
              <w:left w:val="single" w:color="AACCD6" w:sz="1"/>
              <w:bottom w:val="single" w:color="AACCD6" w:sz="1"/>
              <w:right w:val="single" w:color="AACCD6" w:sz="1"/>
            </w:tcBorders>
            <w:shd w:fill="E8F4E8" w:val="clear"/>
            <w:tcMar>
              <w:top w:type="dxa" w:w="80"/>
              <w:left w:type="dxa" w:w="130"/>
              <w:bottom w:type="dxa" w:w="80"/>
              <w:right w:type="dxa" w:w="130"/>
            </w:tcMar>
            <w:vAlign w:val="center"/>
          </w:tcPr>
          <w:p>
            <w:pPr>
              <w:jc w:val="center"/>
            </w:pPr>
            <w:r>
              <w:rPr>
                <w:rFonts w:ascii="Calibri" w:cs="Calibri" w:eastAsia="Calibri" w:hAnsi="Calibri"/>
                <w:b/>
                <w:bCs/>
                <w:i w:val="false"/>
                <w:iCs w:val="false"/>
                <w:color w:val="111111"/>
                <w:sz w:val="20"/>
                <w:szCs w:val="20"/>
              </w:rPr>
              <w:t xml:space="preserve">0.41</w:t>
            </w:r>
          </w:p>
        </w:tc>
        <w:tc>
          <w:tcPr>
            <w:tcW w:type="dxa" w:w="2700"/>
            <w:gridSpan w:val="1"/>
            <w:tcBorders>
              <w:top w:val="single" w:color="AACCD6" w:sz="1"/>
              <w:left w:val="single" w:color="AACCD6" w:sz="1"/>
              <w:bottom w:val="single" w:color="AACCD6" w:sz="1"/>
              <w:right w:val="single" w:color="AACCD6" w:sz="1"/>
            </w:tcBorders>
            <w:shd w:fill="E8F4E8"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Compact, globular clusters; easy to interpret</w:t>
            </w:r>
          </w:p>
        </w:tc>
      </w:tr>
      <w:tr>
        <w:tc>
          <w:tcPr>
            <w:tcW w:type="dxa" w:w="210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K-Means  (k = 4)</w:t>
            </w:r>
          </w:p>
        </w:tc>
        <w:tc>
          <w:tcPr>
            <w:tcW w:type="dxa" w:w="150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111111"/>
                <w:sz w:val="20"/>
                <w:szCs w:val="20"/>
              </w:rPr>
              <w:t xml:space="preserve">4</w:t>
            </w:r>
          </w:p>
        </w:tc>
        <w:tc>
          <w:tcPr>
            <w:tcW w:type="dxa" w:w="150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111111"/>
                <w:sz w:val="20"/>
                <w:szCs w:val="20"/>
              </w:rPr>
              <w:t xml:space="preserve">0.198</w:t>
            </w:r>
          </w:p>
        </w:tc>
        <w:tc>
          <w:tcPr>
            <w:tcW w:type="dxa" w:w="156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111111"/>
                <w:sz w:val="20"/>
                <w:szCs w:val="20"/>
              </w:rPr>
              <w:t xml:space="preserve">0.39</w:t>
            </w:r>
          </w:p>
        </w:tc>
        <w:tc>
          <w:tcPr>
            <w:tcW w:type="dxa" w:w="270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Slightly worse cohesion; one cluster too small</w:t>
            </w:r>
          </w:p>
        </w:tc>
      </w:tr>
      <w:tr>
        <w:tc>
          <w:tcPr>
            <w:tcW w:type="dxa" w:w="210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K-Means  (k = 5)</w:t>
            </w:r>
          </w:p>
        </w:tc>
        <w:tc>
          <w:tcPr>
            <w:tcW w:type="dxa" w:w="150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111111"/>
                <w:sz w:val="20"/>
                <w:szCs w:val="20"/>
              </w:rPr>
              <w:t xml:space="preserve">5</w:t>
            </w:r>
          </w:p>
        </w:tc>
        <w:tc>
          <w:tcPr>
            <w:tcW w:type="dxa" w:w="150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111111"/>
                <w:sz w:val="20"/>
                <w:szCs w:val="20"/>
              </w:rPr>
              <w:t xml:space="preserve">0.171</w:t>
            </w:r>
          </w:p>
        </w:tc>
        <w:tc>
          <w:tcPr>
            <w:tcW w:type="dxa" w:w="156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111111"/>
                <w:sz w:val="20"/>
                <w:szCs w:val="20"/>
              </w:rPr>
              <w:t xml:space="preserve">0.34</w:t>
            </w:r>
          </w:p>
        </w:tc>
        <w:tc>
          <w:tcPr>
            <w:tcW w:type="dxa" w:w="270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Over-segmented; diminishing cluster clarity</w:t>
            </w:r>
          </w:p>
        </w:tc>
      </w:tr>
      <w:tr>
        <w:tc>
          <w:tcPr>
            <w:tcW w:type="dxa" w:w="210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Hierarchical (Ward, k=3)</w:t>
            </w:r>
          </w:p>
        </w:tc>
        <w:tc>
          <w:tcPr>
            <w:tcW w:type="dxa" w:w="150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111111"/>
                <w:sz w:val="20"/>
                <w:szCs w:val="20"/>
              </w:rPr>
              <w:t xml:space="preserve">3</w:t>
            </w:r>
          </w:p>
        </w:tc>
        <w:tc>
          <w:tcPr>
            <w:tcW w:type="dxa" w:w="150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111111"/>
                <w:sz w:val="20"/>
                <w:szCs w:val="20"/>
              </w:rPr>
              <w:t xml:space="preserve">0.207</w:t>
            </w:r>
          </w:p>
        </w:tc>
        <w:tc>
          <w:tcPr>
            <w:tcW w:type="dxa" w:w="156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111111"/>
                <w:sz w:val="20"/>
                <w:szCs w:val="20"/>
              </w:rPr>
              <w:t xml:space="preserve">0.40</w:t>
            </w:r>
          </w:p>
        </w:tc>
        <w:tc>
          <w:tcPr>
            <w:tcW w:type="dxa" w:w="270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Similar to K-Means k=3; confirms 3-cluster structure</w:t>
            </w:r>
          </w:p>
        </w:tc>
      </w:tr>
      <w:tr>
        <w:tc>
          <w:tcPr>
            <w:tcW w:type="dxa" w:w="210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Hierarchical (Avg, k=3)</w:t>
            </w:r>
          </w:p>
        </w:tc>
        <w:tc>
          <w:tcPr>
            <w:tcW w:type="dxa" w:w="150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111111"/>
                <w:sz w:val="20"/>
                <w:szCs w:val="20"/>
              </w:rPr>
              <w:t xml:space="preserve">3</w:t>
            </w:r>
          </w:p>
        </w:tc>
        <w:tc>
          <w:tcPr>
            <w:tcW w:type="dxa" w:w="150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111111"/>
                <w:sz w:val="20"/>
                <w:szCs w:val="20"/>
              </w:rPr>
              <w:t xml:space="preserve">0.183</w:t>
            </w:r>
          </w:p>
        </w:tc>
        <w:tc>
          <w:tcPr>
            <w:tcW w:type="dxa" w:w="156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111111"/>
                <w:sz w:val="20"/>
                <w:szCs w:val="20"/>
              </w:rPr>
              <w:t xml:space="preserve">0.37</w:t>
            </w:r>
          </w:p>
        </w:tc>
        <w:tc>
          <w:tcPr>
            <w:tcW w:type="dxa" w:w="270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Average linkage less stable; unequal cluster sizes</w:t>
            </w:r>
          </w:p>
        </w:tc>
      </w:tr>
      <w:tr>
        <w:tc>
          <w:tcPr>
            <w:tcW w:type="dxa" w:w="210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DBSCAN (ε=0.5, min=10)</w:t>
            </w:r>
          </w:p>
        </w:tc>
        <w:tc>
          <w:tcPr>
            <w:tcW w:type="dxa" w:w="150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111111"/>
                <w:sz w:val="20"/>
                <w:szCs w:val="20"/>
              </w:rPr>
              <w:t xml:space="preserve">4+noise</w:t>
            </w:r>
          </w:p>
        </w:tc>
        <w:tc>
          <w:tcPr>
            <w:tcW w:type="dxa" w:w="150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111111"/>
                <w:sz w:val="20"/>
                <w:szCs w:val="20"/>
              </w:rPr>
              <w:t xml:space="preserve">0.162</w:t>
            </w:r>
          </w:p>
        </w:tc>
        <w:tc>
          <w:tcPr>
            <w:tcW w:type="dxa" w:w="156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111111"/>
                <w:sz w:val="20"/>
                <w:szCs w:val="20"/>
              </w:rPr>
              <w:t xml:space="preserve">0.31</w:t>
            </w:r>
          </w:p>
        </w:tc>
        <w:tc>
          <w:tcPr>
            <w:tcW w:type="dxa" w:w="270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Detects outliers but inconsistent core clusters</w:t>
            </w:r>
          </w:p>
        </w:tc>
      </w:tr>
    </w:tbl>
    <w:p>
      <w:pPr>
        <w:spacing w:after="120" w:before="80"/>
      </w:pPr>
      <w:r>
        <w:rPr>
          <w:rFonts w:ascii="Calibri" w:cs="Calibri" w:eastAsia="Calibri" w:hAnsi="Calibri"/>
          <w:i/>
          <w:iCs/>
          <w:color w:val="666666"/>
          <w:sz w:val="18"/>
          <w:szCs w:val="18"/>
        </w:rPr>
        <w:t xml:space="preserve">Note: K-Means (k=3) highlighted as the recommended final model. CH Index values normalised to [0,1] range for cross-model comparability.</w:t>
      </w:r>
    </w:p>
    <w:p>
      <w:pPr>
        <w:spacing w:after="60" w:before="60"/>
      </w:pPr>
      <w:r>
        <w:t xml:space="preserve"/>
      </w:r>
    </w:p>
    <w:p>
      <w:pPr>
        <w:pStyle w:val="Heading2"/>
        <w:spacing w:after="120" w:before="280"/>
      </w:pPr>
      <w:r>
        <w:rPr>
          <w:rFonts w:ascii="Calibri" w:cs="Calibri" w:eastAsia="Calibri" w:hAnsi="Calibri"/>
          <w:b/>
          <w:bCs/>
          <w:color w:val="1A6E82"/>
          <w:sz w:val="28"/>
          <w:szCs w:val="28"/>
        </w:rPr>
        <w:t xml:space="preserve">4.1 K-Means (k = 3, 4, 5)</w:t>
      </w:r>
    </w:p>
    <w:p>
      <w:pPr>
        <w:spacing w:after="120" w:before="100" w:line="340"/>
        <w:jc w:val="left"/>
      </w:pPr>
      <w:r>
        <w:rPr>
          <w:rFonts w:ascii="Calibri" w:cs="Calibri" w:eastAsia="Calibri" w:hAnsi="Calibri"/>
          <w:b w:val="false"/>
          <w:bCs w:val="false"/>
          <w:i w:val="false"/>
          <w:iCs w:val="false"/>
          <w:color w:val="111111"/>
          <w:sz w:val="22"/>
          <w:szCs w:val="22"/>
        </w:rPr>
        <w:t xml:space="preserve">K-Means was the natural starting point — it is fast, scalable, and its results are straightforward to explain to non-technical stakeholders. The optimal k was determined using the elbow method on inertia (within-cluster sum of squares) alongside the silhouette analysis.</w:t>
      </w:r>
    </w:p>
    <w:p>
      <w:pPr>
        <w:spacing w:after="60" w:before="60"/>
      </w:pPr>
      <w:r>
        <w:t xml:space="preserve"/>
      </w:r>
    </w:p>
    <w:p>
      <w:pPr>
        <w:spacing w:after="120" w:before="100" w:line="340"/>
        <w:jc w:val="left"/>
      </w:pPr>
      <w:r>
        <w:rPr>
          <w:rFonts w:ascii="Calibri" w:cs="Calibri" w:eastAsia="Calibri" w:hAnsi="Calibri"/>
          <w:b w:val="false"/>
          <w:bCs w:val="false"/>
          <w:i w:val="false"/>
          <w:iCs w:val="false"/>
          <w:color w:val="111111"/>
          <w:sz w:val="22"/>
          <w:szCs w:val="22"/>
        </w:rPr>
        <w:t xml:space="preserve">The elbow curve showed a clear inflection point at k=3, with diminishing returns beyond that. The silhouette score confirmed this: k=3 yielded 0.214, while k=4 dropped to 0.198 and k=5 to 0.171. The k=4 solution split one of the three natural clusters into two smaller, less interpretable groups that would not translate into meaningfully different business strategies. k=5 fragmented the data further without adding analytical value.</w:t>
      </w:r>
    </w:p>
    <w:p>
      <w:pPr>
        <w:spacing w:after="60" w:before="60"/>
      </w:pPr>
      <w:r>
        <w:t xml:space="preserve"/>
      </w:r>
    </w:p>
    <w:p>
      <w:pPr>
        <w:pStyle w:val="Heading2"/>
        <w:spacing w:after="120" w:before="280"/>
      </w:pPr>
      <w:r>
        <w:rPr>
          <w:rFonts w:ascii="Calibri" w:cs="Calibri" w:eastAsia="Calibri" w:hAnsi="Calibri"/>
          <w:b/>
          <w:bCs/>
          <w:color w:val="1A6E82"/>
          <w:sz w:val="28"/>
          <w:szCs w:val="28"/>
        </w:rPr>
        <w:t xml:space="preserve">4.2 Hierarchical Clustering (Ward and Average Linkage, k=3)</w:t>
      </w:r>
    </w:p>
    <w:p>
      <w:pPr>
        <w:spacing w:after="120" w:before="100" w:line="340"/>
        <w:jc w:val="left"/>
      </w:pPr>
      <w:r>
        <w:rPr>
          <w:rFonts w:ascii="Calibri" w:cs="Calibri" w:eastAsia="Calibri" w:hAnsi="Calibri"/>
          <w:b w:val="false"/>
          <w:bCs w:val="false"/>
          <w:i w:val="false"/>
          <w:iCs w:val="false"/>
          <w:color w:val="111111"/>
          <w:sz w:val="22"/>
          <w:szCs w:val="22"/>
        </w:rPr>
        <w:t xml:space="preserve">Agglomerative hierarchical clustering was applied as a model-assumption check. Unlike K-Means, hierarchical clustering makes no assumption about cluster shape or equal cluster sizes, and the resulting dendrogram provides a useful visual for deciding how many clusters to cut. Both Ward's linkage (which minimises total within-cluster variance) and average linkage were tested.</w:t>
      </w:r>
    </w:p>
    <w:p>
      <w:pPr>
        <w:spacing w:after="60" w:before="60"/>
      </w:pPr>
      <w:r>
        <w:t xml:space="preserve"/>
      </w:r>
    </w:p>
    <w:p>
      <w:pPr>
        <w:spacing w:after="120" w:before="100" w:line="340"/>
        <w:jc w:val="left"/>
      </w:pPr>
      <w:r>
        <w:rPr>
          <w:rFonts w:ascii="Calibri" w:cs="Calibri" w:eastAsia="Calibri" w:hAnsi="Calibri"/>
          <w:b w:val="false"/>
          <w:bCs w:val="false"/>
          <w:i w:val="false"/>
          <w:iCs w:val="false"/>
          <w:color w:val="111111"/>
          <w:sz w:val="22"/>
          <w:szCs w:val="22"/>
        </w:rPr>
        <w:t xml:space="preserve">The Ward linkage dendrogram showed three clear, well-separated branches — independently confirming the three-cluster structure found by K-Means. The cluster assignments from Ward hierarchical (k=3) had approximately 87% overlap with K-Means (k=3), which is a reassuring sign of structural validity. Average linkage was noisier and produced unequal cluster sizes with weaker silhouette performance.</w:t>
      </w:r>
    </w:p>
    <w:p>
      <w:pPr>
        <w:spacing w:after="60" w:before="60"/>
      </w:pPr>
      <w:r>
        <w:t xml:space="preserve"/>
      </w:r>
    </w:p>
    <w:p>
      <w:pPr>
        <w:pStyle w:val="Heading2"/>
        <w:spacing w:after="120" w:before="280"/>
      </w:pPr>
      <w:r>
        <w:rPr>
          <w:rFonts w:ascii="Calibri" w:cs="Calibri" w:eastAsia="Calibri" w:hAnsi="Calibri"/>
          <w:b/>
          <w:bCs/>
          <w:color w:val="1A6E82"/>
          <w:sz w:val="28"/>
          <w:szCs w:val="28"/>
        </w:rPr>
        <w:t xml:space="preserve">4.3 DBSCAN</w:t>
      </w:r>
    </w:p>
    <w:p>
      <w:pPr>
        <w:spacing w:after="120" w:before="100" w:line="340"/>
        <w:jc w:val="left"/>
      </w:pPr>
      <w:r>
        <w:rPr>
          <w:rFonts w:ascii="Calibri" w:cs="Calibri" w:eastAsia="Calibri" w:hAnsi="Calibri"/>
          <w:b w:val="false"/>
          <w:bCs w:val="false"/>
          <w:i w:val="false"/>
          <w:iCs w:val="false"/>
          <w:color w:val="111111"/>
          <w:sz w:val="22"/>
          <w:szCs w:val="22"/>
        </w:rPr>
        <w:t xml:space="preserve">DBSCAN was included because it handles outlier detection natively and makes no assumption about the number of clusters — the algorithm discovers this from the data geometry. After testing several epsilon values (0.3, 0.5, 0.8) with a minimum sample size of 10, the most coherent configuration produced four loose clusters plus a meaningful outlier group. While the outlier detection was genuinely interesting — the noise points corresponded to unusual billing patterns worth investigating separately — the core cluster structure was less stable and harder to interpret than the K-Means or Ward solutions. DBSCAN's silhouette score of 0.162 confirmed it was not the best fit for this particular dataset.</w:t>
      </w:r>
    </w:p>
    <w:p>
      <w:r>
        <w:br w:type="page"/>
      </w:r>
    </w:p>
    <w:p>
      <w:pPr>
        <w:pStyle w:val="Heading1"/>
        <w:pBdr>
          <w:bottom w:val="single" w:color="1A6E82" w:sz="8" w:space="4"/>
        </w:pBdr>
        <w:spacing w:after="160" w:before="380"/>
      </w:pPr>
      <w:r>
        <w:rPr>
          <w:rFonts w:ascii="Calibri" w:cs="Calibri" w:eastAsia="Calibri" w:hAnsi="Calibri"/>
          <w:b/>
          <w:bCs/>
          <w:color w:val="1B3A6B"/>
          <w:sz w:val="38"/>
          <w:szCs w:val="38"/>
        </w:rPr>
        <w:t xml:space="preserve">5. Final Model Recommendation</w:t>
      </w:r>
    </w:p>
    <w:p>
      <w:pPr>
        <w:spacing w:after="120" w:before="100" w:line="340"/>
        <w:jc w:val="left"/>
      </w:pPr>
      <w:r>
        <w:rPr>
          <w:rFonts w:ascii="Calibri" w:cs="Calibri" w:eastAsia="Calibri" w:hAnsi="Calibri"/>
          <w:b w:val="false"/>
          <w:bCs w:val="false"/>
          <w:i w:val="false"/>
          <w:iCs w:val="false"/>
          <w:color w:val="111111"/>
          <w:sz w:val="22"/>
          <w:szCs w:val="22"/>
        </w:rPr>
        <w:t xml:space="preserve">The recommended model is K-Means with k=3 clusters.</w:t>
      </w:r>
    </w:p>
    <w:p>
      <w:pPr>
        <w:spacing w:after="60" w:before="60"/>
      </w:pPr>
      <w:r>
        <w:t xml:space="preserve"/>
      </w:r>
    </w:p>
    <w:p>
      <w:pPr>
        <w:spacing w:after="120" w:before="100" w:line="340"/>
        <w:jc w:val="left"/>
      </w:pPr>
      <w:r>
        <w:rPr>
          <w:rFonts w:ascii="Calibri" w:cs="Calibri" w:eastAsia="Calibri" w:hAnsi="Calibri"/>
          <w:b w:val="false"/>
          <w:bCs w:val="false"/>
          <w:i w:val="false"/>
          <w:iCs w:val="false"/>
          <w:color w:val="111111"/>
          <w:sz w:val="22"/>
          <w:szCs w:val="22"/>
        </w:rPr>
        <w:t xml:space="preserve">This isn't just about the numbers, though the quantitative case is clear — it produced the highest silhouette score and Calinski-Harabasz index of all tested variants. The stronger argument is interpretability. The three clusters that emerged map onto genuinely recognisable customer archetypes that the business can act on immediately. Each cluster tells a coherent story, and the boundaries between them are stable enough that the model can be confidently applied to score new customers as they are onboarded.</w:t>
      </w:r>
    </w:p>
    <w:p>
      <w:pPr>
        <w:spacing w:after="60" w:before="60"/>
      </w:pPr>
      <w:r>
        <w:t xml:space="preserve"/>
      </w:r>
    </w:p>
    <w:p>
      <w:pPr>
        <w:spacing w:after="120" w:before="100" w:line="340"/>
        <w:jc w:val="left"/>
      </w:pPr>
      <w:r>
        <w:rPr>
          <w:rFonts w:ascii="Calibri" w:cs="Calibri" w:eastAsia="Calibri" w:hAnsi="Calibri"/>
          <w:b w:val="false"/>
          <w:bCs w:val="false"/>
          <w:i w:val="false"/>
          <w:iCs w:val="false"/>
          <w:color w:val="111111"/>
          <w:sz w:val="22"/>
          <w:szCs w:val="22"/>
        </w:rPr>
        <w:t xml:space="preserve">The Ward hierarchical model provided valuable external validation — it independently reproduced the three-cluster structure with 87% label agreement, which significantly increases confidence that these clusters reflect real patterns in the data rather than algorithm artefacts. DBSCAN's outlier-detection capability is valuable but better suited as a complementary diagnostic tool rather than the primary segmentation model.</w:t>
      </w:r>
    </w:p>
    <w:p>
      <w:pPr>
        <w:spacing w:after="60" w:before="60"/>
      </w:pPr>
      <w:r>
        <w:t xml:space="preserve"/>
      </w:r>
    </w:p>
    <w:p>
      <w:pPr>
        <w:spacing w:after="120" w:before="100" w:line="340"/>
        <w:jc w:val="left"/>
      </w:pPr>
      <w:r>
        <w:rPr>
          <w:rFonts w:ascii="Calibri" w:cs="Calibri" w:eastAsia="Calibri" w:hAnsi="Calibri"/>
          <w:b w:val="false"/>
          <w:bCs w:val="false"/>
          <w:i w:val="false"/>
          <w:iCs w:val="false"/>
          <w:color w:val="111111"/>
          <w:sz w:val="22"/>
          <w:szCs w:val="22"/>
        </w:rPr>
        <w:t xml:space="preserve">From a practical standpoint, K-Means is also easy to retrain as new customer data arrives, can be integrated into a CRM pipeline with minimal overhead, and produces cluster membership probabilities (via soft assignment extensions) that allow the business to prioritise borderline customers who are shifting between segments.</w:t>
      </w:r>
    </w:p>
    <w:p>
      <w:r>
        <w:br w:type="page"/>
      </w:r>
    </w:p>
    <w:p>
      <w:pPr>
        <w:pStyle w:val="Heading1"/>
        <w:pBdr>
          <w:bottom w:val="single" w:color="1A6E82" w:sz="8" w:space="4"/>
        </w:pBdr>
        <w:spacing w:after="160" w:before="380"/>
      </w:pPr>
      <w:r>
        <w:rPr>
          <w:rFonts w:ascii="Calibri" w:cs="Calibri" w:eastAsia="Calibri" w:hAnsi="Calibri"/>
          <w:b/>
          <w:bCs/>
          <w:color w:val="1B3A6B"/>
          <w:sz w:val="38"/>
          <w:szCs w:val="38"/>
        </w:rPr>
        <w:t xml:space="preserve">6. Key Findings and Insights</w:t>
      </w:r>
    </w:p>
    <w:p>
      <w:pPr>
        <w:pStyle w:val="Heading2"/>
        <w:spacing w:after="120" w:before="280"/>
      </w:pPr>
      <w:r>
        <w:rPr>
          <w:rFonts w:ascii="Calibri" w:cs="Calibri" w:eastAsia="Calibri" w:hAnsi="Calibri"/>
          <w:b/>
          <w:bCs/>
          <w:color w:val="1A6E82"/>
          <w:sz w:val="28"/>
          <w:szCs w:val="28"/>
        </w:rPr>
        <w:t xml:space="preserve">6.1 Cluster Profiles</w:t>
      </w:r>
    </w:p>
    <w:p>
      <w:pPr>
        <w:spacing w:after="120" w:before="100" w:line="340"/>
        <w:jc w:val="left"/>
      </w:pPr>
      <w:r>
        <w:rPr>
          <w:rFonts w:ascii="Calibri" w:cs="Calibri" w:eastAsia="Calibri" w:hAnsi="Calibri"/>
          <w:b w:val="false"/>
          <w:bCs w:val="false"/>
          <w:i w:val="false"/>
          <w:iCs w:val="false"/>
          <w:color w:val="111111"/>
          <w:sz w:val="22"/>
          <w:szCs w:val="22"/>
        </w:rPr>
        <w:t xml:space="preserve">The three clusters produced by K-Means (k=3) are summarised below. Each was given a descriptive label based on the dominant characteristics of its members: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rPr>
          <w:tblHeader/>
        </w:trPr>
        <w:tc>
          <w:tcPr>
            <w:tcW w:type="dxa" w:w="2200"/>
            <w:gridSpan w:val="1"/>
            <w:tcBorders>
              <w:top w:val="single" w:color="AACCD6" w:sz="1"/>
              <w:left w:val="single" w:color="AACCD6" w:sz="1"/>
              <w:bottom w:val="single" w:color="AACCD6" w:sz="1"/>
              <w:right w:val="single" w:color="AACCD6" w:sz="1"/>
            </w:tcBorders>
            <w:shd w:fill="D4EAF0" w:val="clear"/>
            <w:tcMar>
              <w:top w:type="dxa" w:w="80"/>
              <w:left w:type="dxa" w:w="130"/>
              <w:bottom w:type="dxa" w:w="80"/>
              <w:right w:type="dxa" w:w="130"/>
            </w:tcMar>
            <w:vAlign w:val="center"/>
          </w:tcPr>
          <w:p>
            <w:pPr>
              <w:jc w:val="left"/>
            </w:pPr>
            <w:r>
              <w:rPr>
                <w:rFonts w:ascii="Calibri" w:cs="Calibri" w:eastAsia="Calibri" w:hAnsi="Calibri"/>
                <w:b/>
                <w:bCs/>
                <w:i w:val="false"/>
                <w:iCs w:val="false"/>
                <w:color w:val="1B3A6B"/>
                <w:sz w:val="20"/>
                <w:szCs w:val="20"/>
              </w:rPr>
              <w:t xml:space="preserve">Attribute</w:t>
            </w:r>
          </w:p>
        </w:tc>
        <w:tc>
          <w:tcPr>
            <w:tcW w:type="dxa" w:w="2380"/>
            <w:gridSpan w:val="1"/>
            <w:tcBorders>
              <w:top w:val="single" w:color="AACCD6" w:sz="1"/>
              <w:left w:val="single" w:color="AACCD6" w:sz="1"/>
              <w:bottom w:val="single" w:color="AACCD6" w:sz="1"/>
              <w:right w:val="single" w:color="AACCD6" w:sz="1"/>
            </w:tcBorders>
            <w:shd w:fill="D4EAF0" w:val="clear"/>
            <w:tcMar>
              <w:top w:type="dxa" w:w="80"/>
              <w:left w:type="dxa" w:w="130"/>
              <w:bottom w:type="dxa" w:w="80"/>
              <w:right w:type="dxa" w:w="130"/>
            </w:tcMar>
            <w:vAlign w:val="center"/>
          </w:tcPr>
          <w:p>
            <w:pPr>
              <w:jc w:val="left"/>
            </w:pPr>
            <w:r>
              <w:rPr>
                <w:rFonts w:ascii="Calibri" w:cs="Calibri" w:eastAsia="Calibri" w:hAnsi="Calibri"/>
                <w:b/>
                <w:bCs/>
                <w:i w:val="false"/>
                <w:iCs w:val="false"/>
                <w:color w:val="1B3A6B"/>
                <w:sz w:val="20"/>
                <w:szCs w:val="20"/>
              </w:rPr>
              <w:t xml:space="preserve">Cluster 1 — Loyal Veterans</w:t>
            </w:r>
          </w:p>
        </w:tc>
        <w:tc>
          <w:tcPr>
            <w:tcW w:type="dxa" w:w="2380"/>
            <w:gridSpan w:val="1"/>
            <w:tcBorders>
              <w:top w:val="single" w:color="AACCD6" w:sz="1"/>
              <w:left w:val="single" w:color="AACCD6" w:sz="1"/>
              <w:bottom w:val="single" w:color="AACCD6" w:sz="1"/>
              <w:right w:val="single" w:color="AACCD6" w:sz="1"/>
            </w:tcBorders>
            <w:shd w:fill="D4EAF0" w:val="clear"/>
            <w:tcMar>
              <w:top w:type="dxa" w:w="80"/>
              <w:left w:type="dxa" w:w="130"/>
              <w:bottom w:type="dxa" w:w="80"/>
              <w:right w:type="dxa" w:w="130"/>
            </w:tcMar>
            <w:vAlign w:val="center"/>
          </w:tcPr>
          <w:p>
            <w:pPr>
              <w:jc w:val="left"/>
            </w:pPr>
            <w:r>
              <w:rPr>
                <w:rFonts w:ascii="Calibri" w:cs="Calibri" w:eastAsia="Calibri" w:hAnsi="Calibri"/>
                <w:b/>
                <w:bCs/>
                <w:i w:val="false"/>
                <w:iCs w:val="false"/>
                <w:color w:val="1B3A6B"/>
                <w:sz w:val="20"/>
                <w:szCs w:val="20"/>
              </w:rPr>
              <w:t xml:space="preserve">Cluster 2 — At-Risk Newcomers</w:t>
            </w:r>
          </w:p>
        </w:tc>
        <w:tc>
          <w:tcPr>
            <w:tcW w:type="dxa" w:w="2400"/>
            <w:gridSpan w:val="1"/>
            <w:tcBorders>
              <w:top w:val="single" w:color="AACCD6" w:sz="1"/>
              <w:left w:val="single" w:color="AACCD6" w:sz="1"/>
              <w:bottom w:val="single" w:color="AACCD6" w:sz="1"/>
              <w:right w:val="single" w:color="AACCD6" w:sz="1"/>
            </w:tcBorders>
            <w:shd w:fill="D4EAF0" w:val="clear"/>
            <w:tcMar>
              <w:top w:type="dxa" w:w="80"/>
              <w:left w:type="dxa" w:w="130"/>
              <w:bottom w:type="dxa" w:w="80"/>
              <w:right w:type="dxa" w:w="130"/>
            </w:tcMar>
            <w:vAlign w:val="center"/>
          </w:tcPr>
          <w:p>
            <w:pPr>
              <w:jc w:val="left"/>
            </w:pPr>
            <w:r>
              <w:rPr>
                <w:rFonts w:ascii="Calibri" w:cs="Calibri" w:eastAsia="Calibri" w:hAnsi="Calibri"/>
                <w:b/>
                <w:bCs/>
                <w:i w:val="false"/>
                <w:iCs w:val="false"/>
                <w:color w:val="1B3A6B"/>
                <w:sz w:val="20"/>
                <w:szCs w:val="20"/>
              </w:rPr>
              <w:t xml:space="preserve">Cluster 3 — Mid-Tier Fence-Sitters</w:t>
            </w:r>
          </w:p>
        </w:tc>
      </w:tr>
      <w:tr>
        <w:tc>
          <w:tcPr>
            <w:tcW w:type="dxa" w:w="220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left"/>
            </w:pPr>
            <w:r>
              <w:rPr>
                <w:rFonts w:ascii="Calibri" w:cs="Calibri" w:eastAsia="Calibri" w:hAnsi="Calibri"/>
                <w:b/>
                <w:bCs/>
                <w:i w:val="false"/>
                <w:iCs w:val="false"/>
                <w:color w:val="111111"/>
                <w:sz w:val="20"/>
                <w:szCs w:val="20"/>
              </w:rPr>
              <w:t xml:space="preserve">Size (% of base)</w:t>
            </w:r>
          </w:p>
        </w:tc>
        <w:tc>
          <w:tcPr>
            <w:tcW w:type="dxa" w:w="238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38%</w:t>
            </w:r>
          </w:p>
        </w:tc>
        <w:tc>
          <w:tcPr>
            <w:tcW w:type="dxa" w:w="238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29%</w:t>
            </w:r>
          </w:p>
        </w:tc>
        <w:tc>
          <w:tcPr>
            <w:tcW w:type="dxa" w:w="240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33%</w:t>
            </w:r>
          </w:p>
        </w:tc>
      </w:tr>
      <w:tr>
        <w:tc>
          <w:tcPr>
            <w:tcW w:type="dxa" w:w="220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left"/>
            </w:pPr>
            <w:r>
              <w:rPr>
                <w:rFonts w:ascii="Calibri" w:cs="Calibri" w:eastAsia="Calibri" w:hAnsi="Calibri"/>
                <w:b/>
                <w:bCs/>
                <w:i w:val="false"/>
                <w:iCs w:val="false"/>
                <w:color w:val="111111"/>
                <w:sz w:val="20"/>
                <w:szCs w:val="20"/>
              </w:rPr>
              <w:t xml:space="preserve">Avg. Tenure</w:t>
            </w:r>
          </w:p>
        </w:tc>
        <w:tc>
          <w:tcPr>
            <w:tcW w:type="dxa" w:w="238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52 months</w:t>
            </w:r>
          </w:p>
        </w:tc>
        <w:tc>
          <w:tcPr>
            <w:tcW w:type="dxa" w:w="238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9 months</w:t>
            </w:r>
          </w:p>
        </w:tc>
        <w:tc>
          <w:tcPr>
            <w:tcW w:type="dxa" w:w="240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28 months</w:t>
            </w:r>
          </w:p>
        </w:tc>
      </w:tr>
      <w:tr>
        <w:tc>
          <w:tcPr>
            <w:tcW w:type="dxa" w:w="220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left"/>
            </w:pPr>
            <w:r>
              <w:rPr>
                <w:rFonts w:ascii="Calibri" w:cs="Calibri" w:eastAsia="Calibri" w:hAnsi="Calibri"/>
                <w:b/>
                <w:bCs/>
                <w:i w:val="false"/>
                <w:iCs w:val="false"/>
                <w:color w:val="111111"/>
                <w:sz w:val="20"/>
                <w:szCs w:val="20"/>
              </w:rPr>
              <w:t xml:space="preserve">Avg. Monthly Charge</w:t>
            </w:r>
          </w:p>
        </w:tc>
        <w:tc>
          <w:tcPr>
            <w:tcW w:type="dxa" w:w="238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$58.10</w:t>
            </w:r>
          </w:p>
        </w:tc>
        <w:tc>
          <w:tcPr>
            <w:tcW w:type="dxa" w:w="238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$79.40</w:t>
            </w:r>
          </w:p>
        </w:tc>
        <w:tc>
          <w:tcPr>
            <w:tcW w:type="dxa" w:w="240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$66.80</w:t>
            </w:r>
          </w:p>
        </w:tc>
      </w:tr>
      <w:tr>
        <w:tc>
          <w:tcPr>
            <w:tcW w:type="dxa" w:w="220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left"/>
            </w:pPr>
            <w:r>
              <w:rPr>
                <w:rFonts w:ascii="Calibri" w:cs="Calibri" w:eastAsia="Calibri" w:hAnsi="Calibri"/>
                <w:b/>
                <w:bCs/>
                <w:i w:val="false"/>
                <w:iCs w:val="false"/>
                <w:color w:val="111111"/>
                <w:sz w:val="20"/>
                <w:szCs w:val="20"/>
              </w:rPr>
              <w:t xml:space="preserve">Contract Type</w:t>
            </w:r>
          </w:p>
        </w:tc>
        <w:tc>
          <w:tcPr>
            <w:tcW w:type="dxa" w:w="238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Mostly 2-year</w:t>
            </w:r>
          </w:p>
        </w:tc>
        <w:tc>
          <w:tcPr>
            <w:tcW w:type="dxa" w:w="238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Month-to-month</w:t>
            </w:r>
          </w:p>
        </w:tc>
        <w:tc>
          <w:tcPr>
            <w:tcW w:type="dxa" w:w="240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Mix: 1-yr + M-t-M</w:t>
            </w:r>
          </w:p>
        </w:tc>
      </w:tr>
      <w:tr>
        <w:tc>
          <w:tcPr>
            <w:tcW w:type="dxa" w:w="220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left"/>
            </w:pPr>
            <w:r>
              <w:rPr>
                <w:rFonts w:ascii="Calibri" w:cs="Calibri" w:eastAsia="Calibri" w:hAnsi="Calibri"/>
                <w:b/>
                <w:bCs/>
                <w:i w:val="false"/>
                <w:iCs w:val="false"/>
                <w:color w:val="111111"/>
                <w:sz w:val="20"/>
                <w:szCs w:val="20"/>
              </w:rPr>
              <w:t xml:space="preserve">Internet Service</w:t>
            </w:r>
          </w:p>
        </w:tc>
        <w:tc>
          <w:tcPr>
            <w:tcW w:type="dxa" w:w="238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DSL dominant</w:t>
            </w:r>
          </w:p>
        </w:tc>
        <w:tc>
          <w:tcPr>
            <w:tcW w:type="dxa" w:w="238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Fiber optic heavy</w:t>
            </w:r>
          </w:p>
        </w:tc>
        <w:tc>
          <w:tcPr>
            <w:tcW w:type="dxa" w:w="240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Balanced</w:t>
            </w:r>
          </w:p>
        </w:tc>
      </w:tr>
      <w:tr>
        <w:tc>
          <w:tcPr>
            <w:tcW w:type="dxa" w:w="220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left"/>
            </w:pPr>
            <w:r>
              <w:rPr>
                <w:rFonts w:ascii="Calibri" w:cs="Calibri" w:eastAsia="Calibri" w:hAnsi="Calibri"/>
                <w:b/>
                <w:bCs/>
                <w:i w:val="false"/>
                <w:iCs w:val="false"/>
                <w:color w:val="111111"/>
                <w:sz w:val="20"/>
                <w:szCs w:val="20"/>
              </w:rPr>
              <w:t xml:space="preserve">Add-on Services</w:t>
            </w:r>
          </w:p>
        </w:tc>
        <w:tc>
          <w:tcPr>
            <w:tcW w:type="dxa" w:w="238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High adoption</w:t>
            </w:r>
          </w:p>
        </w:tc>
        <w:tc>
          <w:tcPr>
            <w:tcW w:type="dxa" w:w="238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Low adoption</w:t>
            </w:r>
          </w:p>
        </w:tc>
        <w:tc>
          <w:tcPr>
            <w:tcW w:type="dxa" w:w="240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Moderate adoption</w:t>
            </w:r>
          </w:p>
        </w:tc>
      </w:tr>
      <w:tr>
        <w:tc>
          <w:tcPr>
            <w:tcW w:type="dxa" w:w="220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left"/>
            </w:pPr>
            <w:r>
              <w:rPr>
                <w:rFonts w:ascii="Calibri" w:cs="Calibri" w:eastAsia="Calibri" w:hAnsi="Calibri"/>
                <w:b/>
                <w:bCs/>
                <w:i w:val="false"/>
                <w:iCs w:val="false"/>
                <w:color w:val="111111"/>
                <w:sz w:val="20"/>
                <w:szCs w:val="20"/>
              </w:rPr>
              <w:t xml:space="preserve">Payment Method</w:t>
            </w:r>
          </w:p>
        </w:tc>
        <w:tc>
          <w:tcPr>
            <w:tcW w:type="dxa" w:w="238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Auto-pay preferred</w:t>
            </w:r>
          </w:p>
        </w:tc>
        <w:tc>
          <w:tcPr>
            <w:tcW w:type="dxa" w:w="238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Elec. check heavy</w:t>
            </w:r>
          </w:p>
        </w:tc>
        <w:tc>
          <w:tcPr>
            <w:tcW w:type="dxa" w:w="240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Mixed</w:t>
            </w:r>
          </w:p>
        </w:tc>
      </w:tr>
      <w:tr>
        <w:tc>
          <w:tcPr>
            <w:tcW w:type="dxa" w:w="220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left"/>
            </w:pPr>
            <w:r>
              <w:rPr>
                <w:rFonts w:ascii="Calibri" w:cs="Calibri" w:eastAsia="Calibri" w:hAnsi="Calibri"/>
                <w:b/>
                <w:bCs/>
                <w:i w:val="false"/>
                <w:iCs w:val="false"/>
                <w:color w:val="111111"/>
                <w:sz w:val="20"/>
                <w:szCs w:val="20"/>
              </w:rPr>
              <w:t xml:space="preserve">Observed Churn Rate</w:t>
            </w:r>
          </w:p>
        </w:tc>
        <w:tc>
          <w:tcPr>
            <w:tcW w:type="dxa" w:w="238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~8%</w:t>
            </w:r>
          </w:p>
        </w:tc>
        <w:tc>
          <w:tcPr>
            <w:tcW w:type="dxa" w:w="238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~44%</w:t>
            </w:r>
          </w:p>
        </w:tc>
        <w:tc>
          <w:tcPr>
            <w:tcW w:type="dxa" w:w="2400"/>
            <w:gridSpan w:val="1"/>
            <w:tcBorders>
              <w:top w:val="single" w:color="AACCD6" w:sz="1"/>
              <w:left w:val="single" w:color="AACCD6" w:sz="1"/>
              <w:bottom w:val="single" w:color="AACCD6" w:sz="1"/>
              <w:right w:val="single" w:color="AACCD6" w:sz="1"/>
            </w:tcBorders>
            <w:shd w:fill="F3F5F8"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~22%</w:t>
            </w:r>
          </w:p>
        </w:tc>
      </w:tr>
      <w:tr>
        <w:tc>
          <w:tcPr>
            <w:tcW w:type="dxa" w:w="220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left"/>
            </w:pPr>
            <w:r>
              <w:rPr>
                <w:rFonts w:ascii="Calibri" w:cs="Calibri" w:eastAsia="Calibri" w:hAnsi="Calibri"/>
                <w:b/>
                <w:bCs/>
                <w:i w:val="false"/>
                <w:iCs w:val="false"/>
                <w:color w:val="111111"/>
                <w:sz w:val="20"/>
                <w:szCs w:val="20"/>
              </w:rPr>
              <w:t xml:space="preserve">Business Label</w:t>
            </w:r>
          </w:p>
        </w:tc>
        <w:tc>
          <w:tcPr>
            <w:tcW w:type="dxa" w:w="238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Anchor Customers</w:t>
            </w:r>
          </w:p>
        </w:tc>
        <w:tc>
          <w:tcPr>
            <w:tcW w:type="dxa" w:w="238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High Churn Risk</w:t>
            </w:r>
          </w:p>
        </w:tc>
        <w:tc>
          <w:tcPr>
            <w:tcW w:type="dxa" w:w="2400"/>
            <w:gridSpan w:val="1"/>
            <w:tcBorders>
              <w:top w:val="single" w:color="AACCD6" w:sz="1"/>
              <w:left w:val="single" w:color="AACCD6" w:sz="1"/>
              <w:bottom w:val="single" w:color="AACCD6" w:sz="1"/>
              <w:right w:val="single" w:color="AACCD6"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11111"/>
                <w:sz w:val="20"/>
                <w:szCs w:val="20"/>
              </w:rPr>
              <w:t xml:space="preserve">Growth Opportunity</w:t>
            </w:r>
          </w:p>
        </w:tc>
      </w:tr>
    </w:tbl>
    <w:p>
      <w:pPr>
        <w:spacing w:after="60" w:before="60"/>
      </w:pPr>
      <w:r>
        <w:t xml:space="preserve"/>
      </w:r>
    </w:p>
    <w:p>
      <w:pPr>
        <w:pStyle w:val="Heading2"/>
        <w:spacing w:after="120" w:before="280"/>
      </w:pPr>
      <w:r>
        <w:rPr>
          <w:rFonts w:ascii="Calibri" w:cs="Calibri" w:eastAsia="Calibri" w:hAnsi="Calibri"/>
          <w:b/>
          <w:bCs/>
          <w:color w:val="1A6E82"/>
          <w:sz w:val="28"/>
          <w:szCs w:val="28"/>
        </w:rPr>
        <w:t xml:space="preserve">6.2 Cluster 1 — Loyal Veterans (38% of customers)</w:t>
      </w:r>
    </w:p>
    <w:p>
      <w:pPr>
        <w:spacing w:after="120" w:before="100" w:line="340"/>
        <w:jc w:val="left"/>
      </w:pPr>
      <w:r>
        <w:rPr>
          <w:rFonts w:ascii="Calibri" w:cs="Calibri" w:eastAsia="Calibri" w:hAnsi="Calibri"/>
          <w:b w:val="false"/>
          <w:bCs w:val="false"/>
          <w:i w:val="false"/>
          <w:iCs w:val="false"/>
          <w:color w:val="111111"/>
          <w:sz w:val="22"/>
          <w:szCs w:val="22"/>
        </w:rPr>
        <w:t xml:space="preserve">This is the foundation of the business. These customers have been around for an average of 52 months, are predominantly on two-year contracts, and tend to pay via auto-payment methods. They have adopted multiple services — security, tech support, streaming — which suggests genuine product engagement rather than passive inertia. Their observed churn rate of approximately 8% is low.</w:t>
      </w:r>
    </w:p>
    <w:p>
      <w:pPr>
        <w:spacing w:after="60" w:before="60"/>
      </w:pPr>
      <w:r>
        <w:t xml:space="preserve"/>
      </w:r>
    </w:p>
    <w:p>
      <w:pPr>
        <w:spacing w:after="120" w:before="100" w:line="340"/>
        <w:jc w:val="left"/>
      </w:pPr>
      <w:r>
        <w:rPr>
          <w:rFonts w:ascii="Calibri" w:cs="Calibri" w:eastAsia="Calibri" w:hAnsi="Calibri"/>
          <w:b w:val="false"/>
          <w:bCs w:val="false"/>
          <w:i w:val="false"/>
          <w:iCs w:val="false"/>
          <w:color w:val="111111"/>
          <w:sz w:val="22"/>
          <w:szCs w:val="22"/>
        </w:rPr>
        <w:t xml:space="preserve">What this means for the business: these customers are not a retention problem today, but they should not be ignored. Service degradation, price increases, or competitive offers could destabilise this group. The priority here is loyalty reinforcement — proactive communication, early renewal incentives before contracts expire, and priority customer service queuing.</w:t>
      </w:r>
    </w:p>
    <w:p>
      <w:pPr>
        <w:spacing w:after="60" w:before="60"/>
      </w:pPr>
      <w:r>
        <w:t xml:space="preserve"/>
      </w:r>
    </w:p>
    <w:p>
      <w:pPr>
        <w:pStyle w:val="Heading2"/>
        <w:spacing w:after="120" w:before="280"/>
      </w:pPr>
      <w:r>
        <w:rPr>
          <w:rFonts w:ascii="Calibri" w:cs="Calibri" w:eastAsia="Calibri" w:hAnsi="Calibri"/>
          <w:b/>
          <w:bCs/>
          <w:color w:val="1A6E82"/>
          <w:sz w:val="28"/>
          <w:szCs w:val="28"/>
        </w:rPr>
        <w:t xml:space="preserve">6.3 Cluster 2 — At-Risk Newcomers (29% of customers)</w:t>
      </w:r>
    </w:p>
    <w:p>
      <w:pPr>
        <w:spacing w:after="120" w:before="100" w:line="340"/>
        <w:jc w:val="left"/>
      </w:pPr>
      <w:r>
        <w:rPr>
          <w:rFonts w:ascii="Calibri" w:cs="Calibri" w:eastAsia="Calibri" w:hAnsi="Calibri"/>
          <w:b w:val="false"/>
          <w:bCs w:val="false"/>
          <w:i w:val="false"/>
          <w:iCs w:val="false"/>
          <w:color w:val="111111"/>
          <w:sz w:val="22"/>
          <w:szCs w:val="22"/>
        </w:rPr>
        <w:t xml:space="preserve">This cluster is where the business is bleeding. Customers here average just nine months of tenure, are overwhelmingly on month-to-month contracts, subscribe to fiber optic internet (the more expensive tier), and pay by electronic check. Despite paying higher monthly bills than any other segment, they have adopted almost no add-on services. Their observed churn rate of approximately 44% is the clearest signal in the entire dataset.</w:t>
      </w:r>
    </w:p>
    <w:p>
      <w:pPr>
        <w:spacing w:after="60" w:before="60"/>
      </w:pPr>
      <w:r>
        <w:t xml:space="preserve"/>
      </w:r>
    </w:p>
    <w:p>
      <w:pPr>
        <w:spacing w:after="120" w:before="100" w:line="340"/>
        <w:jc w:val="left"/>
      </w:pPr>
      <w:r>
        <w:rPr>
          <w:rFonts w:ascii="Calibri" w:cs="Calibri" w:eastAsia="Calibri" w:hAnsi="Calibri"/>
          <w:b w:val="false"/>
          <w:bCs w:val="false"/>
          <w:i w:val="false"/>
          <w:iCs w:val="false"/>
          <w:color w:val="111111"/>
          <w:sz w:val="22"/>
          <w:szCs w:val="22"/>
        </w:rPr>
        <w:t xml:space="preserve">The pattern is telling: these customers arrived, signed up for a premium service, found themselves paying a high bill without feeling anchored to the ecosystem, and left before the relationship matured. This is both a product design problem (insufficient onboarding into the service ecosystem) and a pricing problem (fiber optic billing may feel high relative to perceived value for new customers).</w:t>
      </w:r>
    </w:p>
    <w:p>
      <w:pPr>
        <w:spacing w:after="60" w:before="60"/>
      </w:pPr>
      <w:r>
        <w:t xml:space="preserve"/>
      </w:r>
    </w:p>
    <w:p>
      <w:pPr>
        <w:pStyle w:val="Heading2"/>
        <w:spacing w:after="120" w:before="280"/>
      </w:pPr>
      <w:r>
        <w:rPr>
          <w:rFonts w:ascii="Calibri" w:cs="Calibri" w:eastAsia="Calibri" w:hAnsi="Calibri"/>
          <w:b/>
          <w:bCs/>
          <w:color w:val="1A6E82"/>
          <w:sz w:val="28"/>
          <w:szCs w:val="28"/>
        </w:rPr>
        <w:t xml:space="preserve">6.4 Cluster 3 — Mid-Tier Fence-Sitters (33% of customers)</w:t>
      </w:r>
    </w:p>
    <w:p>
      <w:pPr>
        <w:spacing w:after="120" w:before="100" w:line="340"/>
        <w:jc w:val="left"/>
      </w:pPr>
      <w:r>
        <w:rPr>
          <w:rFonts w:ascii="Calibri" w:cs="Calibri" w:eastAsia="Calibri" w:hAnsi="Calibri"/>
          <w:b w:val="false"/>
          <w:bCs w:val="false"/>
          <w:i w:val="false"/>
          <w:iCs w:val="false"/>
          <w:color w:val="111111"/>
          <w:sz w:val="22"/>
          <w:szCs w:val="22"/>
        </w:rPr>
        <w:t xml:space="preserve">The third cluster occupies genuinely interesting middle ground. These customers have been around for an average of 28 months — long enough to know the service well — but their churn rate of 22% suggests a meaningful portion are still considering leaving. Contract types are mixed (a blend of one-year and month-to-month), and service adoption is moderate.</w:t>
      </w:r>
    </w:p>
    <w:p>
      <w:pPr>
        <w:spacing w:after="60" w:before="60"/>
      </w:pPr>
      <w:r>
        <w:t xml:space="preserve"/>
      </w:r>
    </w:p>
    <w:p>
      <w:pPr>
        <w:spacing w:after="120" w:before="100" w:line="340"/>
        <w:jc w:val="left"/>
      </w:pPr>
      <w:r>
        <w:rPr>
          <w:rFonts w:ascii="Calibri" w:cs="Calibri" w:eastAsia="Calibri" w:hAnsi="Calibri"/>
          <w:b w:val="false"/>
          <w:bCs w:val="false"/>
          <w:i w:val="false"/>
          <w:iCs w:val="false"/>
          <w:color w:val="111111"/>
          <w:sz w:val="22"/>
          <w:szCs w:val="22"/>
        </w:rPr>
        <w:t xml:space="preserve">This group represents the biggest commercial opportunity. They are past the high-risk early lifecycle phase but have not yet converted into the stable, multi-service profile of Cluster 1. Targeted nudges — contract upgrade incentives, discounted bundles for add-on services, or personalised engagement programmes — have the highest probability of moving these customers into the loyal segment.</w:t>
      </w:r>
    </w:p>
    <w:p>
      <w:pPr>
        <w:spacing w:after="60" w:before="60"/>
      </w:pPr>
      <w:r>
        <w:t xml:space="preserve"/>
      </w:r>
    </w:p>
    <w:p>
      <w:pPr>
        <w:pStyle w:val="Heading2"/>
        <w:spacing w:after="120" w:before="280"/>
      </w:pPr>
      <w:r>
        <w:rPr>
          <w:rFonts w:ascii="Calibri" w:cs="Calibri" w:eastAsia="Calibri" w:hAnsi="Calibri"/>
          <w:b/>
          <w:bCs/>
          <w:color w:val="1A6E82"/>
          <w:sz w:val="28"/>
          <w:szCs w:val="28"/>
        </w:rPr>
        <w:t xml:space="preserve">6.5 The Supervised Learning Connection</w:t>
      </w:r>
    </w:p>
    <w:p>
      <w:pPr>
        <w:spacing w:after="120" w:before="100" w:line="340"/>
        <w:jc w:val="left"/>
      </w:pPr>
      <w:r>
        <w:rPr>
          <w:rFonts w:ascii="Calibri" w:cs="Calibri" w:eastAsia="Calibri" w:hAnsi="Calibri"/>
          <w:b w:val="false"/>
          <w:bCs w:val="false"/>
          <w:i w:val="false"/>
          <w:iCs w:val="false"/>
          <w:color w:val="111111"/>
          <w:sz w:val="22"/>
          <w:szCs w:val="22"/>
        </w:rPr>
        <w:t xml:space="preserve">An important validation step was checking whether a single global churn model performs differently when applied separately to each cluster. Retraining a logistic regression classifier on each cluster independently revealed that:</w:t>
      </w:r>
    </w:p>
    <w:p>
      <w:pPr>
        <w:spacing w:after="60" w:before="60"/>
      </w:pPr>
      <w:r>
        <w:t xml:space="preserve"/>
      </w:r>
    </w:p>
    <w:p>
      <w:pPr>
        <w:pStyle w:val="ListParagraph"/>
        <w:numPr>
          <w:ilvl w:val="0"/>
          <w:numId w:val="2"/>
        </w:numPr>
        <w:spacing w:after="50" w:before="50" w:line="320"/>
      </w:pPr>
      <w:r>
        <w:rPr>
          <w:rFonts w:ascii="Calibri" w:cs="Calibri" w:eastAsia="Calibri" w:hAnsi="Calibri"/>
          <w:color w:val="111111"/>
          <w:sz w:val="22"/>
          <w:szCs w:val="22"/>
        </w:rPr>
        <w:t xml:space="preserve">Cluster 1 (Loyal Veterans): the global model and the cluster-specific model produced nearly identical accuracy (~82%). This makes sense — the within-cluster churn rate is so low and consistent that a simple model captures it well either way.</w:t>
      </w:r>
    </w:p>
    <w:p>
      <w:pPr>
        <w:pStyle w:val="ListParagraph"/>
        <w:numPr>
          <w:ilvl w:val="0"/>
          <w:numId w:val="2"/>
        </w:numPr>
        <w:spacing w:after="50" w:before="50" w:line="320"/>
      </w:pPr>
      <w:r>
        <w:rPr>
          <w:rFonts w:ascii="Calibri" w:cs="Calibri" w:eastAsia="Calibri" w:hAnsi="Calibri"/>
          <w:color w:val="111111"/>
          <w:sz w:val="22"/>
          <w:szCs w:val="22"/>
        </w:rPr>
        <w:t xml:space="preserve">Cluster 2 (At-Risk Newcomers): the cluster-specific model improved F1 score for the churn class from 0.64 to 0.71 compared to the global model. The cluster's distinct feature profile — high charges, no add-ons, fiber optic, electronic check — creates a cleaner decision boundary when modelled in isolation.</w:t>
      </w:r>
    </w:p>
    <w:p>
      <w:pPr>
        <w:pStyle w:val="ListParagraph"/>
        <w:numPr>
          <w:ilvl w:val="0"/>
          <w:numId w:val="2"/>
        </w:numPr>
        <w:spacing w:after="50" w:before="50" w:line="320"/>
      </w:pPr>
      <w:r>
        <w:rPr>
          <w:rFonts w:ascii="Calibri" w:cs="Calibri" w:eastAsia="Calibri" w:hAnsi="Calibri"/>
          <w:color w:val="111111"/>
          <w:sz w:val="22"/>
          <w:szCs w:val="22"/>
        </w:rPr>
        <w:t xml:space="preserve">Cluster 3 (Fence-Sitters): modest improvement in recall for the churn class (from 0.57 to 0.62), suggesting this group has nuanced churn drivers that the global model averages out.</w:t>
      </w:r>
    </w:p>
    <w:p>
      <w:pPr>
        <w:spacing w:after="60" w:before="60"/>
      </w:pPr>
      <w:r>
        <w:t xml:space="preserve"/>
      </w:r>
    </w:p>
    <w:p>
      <w:pPr>
        <w:spacing w:after="120" w:before="100" w:line="340"/>
        <w:jc w:val="left"/>
      </w:pPr>
      <w:r>
        <w:rPr>
          <w:rFonts w:ascii="Calibri" w:cs="Calibri" w:eastAsia="Calibri" w:hAnsi="Calibri"/>
          <w:b w:val="false"/>
          <w:bCs w:val="false"/>
          <w:i w:val="false"/>
          <w:iCs w:val="false"/>
          <w:color w:val="111111"/>
          <w:sz w:val="22"/>
          <w:szCs w:val="22"/>
        </w:rPr>
        <w:t xml:space="preserve">This finding supports the business case for segment-specific retention models rather than a single universal churn predictor. The unsupervised segmentation is not just descriptively useful — it makes the downstream supervised predictions more accurate.</w:t>
      </w:r>
    </w:p>
    <w:p>
      <w:r>
        <w:br w:type="page"/>
      </w:r>
    </w:p>
    <w:p>
      <w:pPr>
        <w:pStyle w:val="Heading1"/>
        <w:pBdr>
          <w:bottom w:val="single" w:color="1A6E82" w:sz="8" w:space="4"/>
        </w:pBdr>
        <w:spacing w:after="160" w:before="380"/>
      </w:pPr>
      <w:r>
        <w:rPr>
          <w:rFonts w:ascii="Calibri" w:cs="Calibri" w:eastAsia="Calibri" w:hAnsi="Calibri"/>
          <w:b/>
          <w:bCs/>
          <w:color w:val="1B3A6B"/>
          <w:sz w:val="38"/>
          <w:szCs w:val="38"/>
        </w:rPr>
        <w:t xml:space="preserve">7. Limitations</w:t>
      </w:r>
    </w:p>
    <w:p>
      <w:pPr>
        <w:pStyle w:val="Heading2"/>
        <w:spacing w:after="120" w:before="280"/>
      </w:pPr>
      <w:r>
        <w:rPr>
          <w:rFonts w:ascii="Calibri" w:cs="Calibri" w:eastAsia="Calibri" w:hAnsi="Calibri"/>
          <w:b/>
          <w:bCs/>
          <w:color w:val="1A6E82"/>
          <w:sz w:val="28"/>
          <w:szCs w:val="28"/>
        </w:rPr>
        <w:t xml:space="preserve">7.1 Static Snapshot Data</w:t>
      </w:r>
    </w:p>
    <w:p>
      <w:pPr>
        <w:spacing w:after="120" w:before="100" w:line="340"/>
        <w:jc w:val="left"/>
      </w:pPr>
      <w:r>
        <w:rPr>
          <w:rFonts w:ascii="Calibri" w:cs="Calibri" w:eastAsia="Calibri" w:hAnsi="Calibri"/>
          <w:b w:val="false"/>
          <w:bCs w:val="false"/>
          <w:i w:val="false"/>
          <w:iCs w:val="false"/>
          <w:color w:val="111111"/>
          <w:sz w:val="22"/>
          <w:szCs w:val="22"/>
        </w:rPr>
        <w:t xml:space="preserve">Probably the biggest limitation of this analysis is that the dataset is a single point-in-time snapshot. Customers are not static — their service usage, payment behaviour, and churn risk evolve over time. A customer in Cluster 2 today might naturally migrate toward Cluster 1 behaviour over the next year if retained. The current model cannot capture this trajectory. Longitudinal data with monthly feature updates would allow time-aware clustering that tracks customers as their profiles change.</w:t>
      </w:r>
    </w:p>
    <w:p>
      <w:pPr>
        <w:spacing w:after="60" w:before="60"/>
      </w:pPr>
      <w:r>
        <w:t xml:space="preserve"/>
      </w:r>
    </w:p>
    <w:p>
      <w:pPr>
        <w:pStyle w:val="Heading2"/>
        <w:spacing w:after="120" w:before="280"/>
      </w:pPr>
      <w:r>
        <w:rPr>
          <w:rFonts w:ascii="Calibri" w:cs="Calibri" w:eastAsia="Calibri" w:hAnsi="Calibri"/>
          <w:b/>
          <w:bCs/>
          <w:color w:val="1A6E82"/>
          <w:sz w:val="28"/>
          <w:szCs w:val="28"/>
        </w:rPr>
        <w:t xml:space="preserve">7.2 K-Means Assumptions</w:t>
      </w:r>
    </w:p>
    <w:p>
      <w:pPr>
        <w:spacing w:after="120" w:before="100" w:line="340"/>
        <w:jc w:val="left"/>
      </w:pPr>
      <w:r>
        <w:rPr>
          <w:rFonts w:ascii="Calibri" w:cs="Calibri" w:eastAsia="Calibri" w:hAnsi="Calibri"/>
          <w:b w:val="false"/>
          <w:bCs w:val="false"/>
          <w:i w:val="false"/>
          <w:iCs w:val="false"/>
          <w:color w:val="111111"/>
          <w:sz w:val="22"/>
          <w:szCs w:val="22"/>
        </w:rPr>
        <w:t xml:space="preserve">K-Means assumes clusters are roughly spherical and of similar size, which is not always true. The actual cluster sizes here (38%, 29%, 33%) are reasonably balanced, and the PCA visualisation confirmed roughly convex groupings, but in datasets with more irregular cluster shapes K-Means can produce misleading results. The hierarchical validation helps here, but it is worth acknowledging the assumption.</w:t>
      </w:r>
    </w:p>
    <w:p>
      <w:pPr>
        <w:spacing w:after="60" w:before="60"/>
      </w:pPr>
      <w:r>
        <w:t xml:space="preserve"/>
      </w:r>
    </w:p>
    <w:p>
      <w:pPr>
        <w:pStyle w:val="Heading2"/>
        <w:spacing w:after="120" w:before="280"/>
      </w:pPr>
      <w:r>
        <w:rPr>
          <w:rFonts w:ascii="Calibri" w:cs="Calibri" w:eastAsia="Calibri" w:hAnsi="Calibri"/>
          <w:b/>
          <w:bCs/>
          <w:color w:val="1A6E82"/>
          <w:sz w:val="28"/>
          <w:szCs w:val="28"/>
        </w:rPr>
        <w:t xml:space="preserve">7.3 Limited Behavioural Data</w:t>
      </w:r>
    </w:p>
    <w:p>
      <w:pPr>
        <w:spacing w:after="120" w:before="100" w:line="340"/>
        <w:jc w:val="left"/>
      </w:pPr>
      <w:r>
        <w:rPr>
          <w:rFonts w:ascii="Calibri" w:cs="Calibri" w:eastAsia="Calibri" w:hAnsi="Calibri"/>
          <w:b w:val="false"/>
          <w:bCs w:val="false"/>
          <w:i w:val="false"/>
          <w:iCs w:val="false"/>
          <w:color w:val="111111"/>
          <w:sz w:val="22"/>
          <w:szCs w:val="22"/>
        </w:rPr>
        <w:t xml:space="preserve">The dataset captures what customers subscribe to and how much they pay, but says nothing about how they actually use the service. Customers who frequently contact support, experience outages, or engage with the mobile app might cluster very differently if usage data were available. The current clusters are essentially billing and contract profiles — useful, but not a complete picture of the customer relationship.</w:t>
      </w:r>
    </w:p>
    <w:p>
      <w:pPr>
        <w:spacing w:after="60" w:before="60"/>
      </w:pPr>
      <w:r>
        <w:t xml:space="preserve"/>
      </w:r>
    </w:p>
    <w:p>
      <w:pPr>
        <w:pStyle w:val="Heading2"/>
        <w:spacing w:after="120" w:before="280"/>
      </w:pPr>
      <w:r>
        <w:rPr>
          <w:rFonts w:ascii="Calibri" w:cs="Calibri" w:eastAsia="Calibri" w:hAnsi="Calibri"/>
          <w:b/>
          <w:bCs/>
          <w:color w:val="1A6E82"/>
          <w:sz w:val="28"/>
          <w:szCs w:val="28"/>
        </w:rPr>
        <w:t xml:space="preserve">7.4 Moderate Silhouette Score</w:t>
      </w:r>
    </w:p>
    <w:p>
      <w:pPr>
        <w:spacing w:after="120" w:before="100" w:line="340"/>
        <w:jc w:val="left"/>
      </w:pPr>
      <w:r>
        <w:rPr>
          <w:rFonts w:ascii="Calibri" w:cs="Calibri" w:eastAsia="Calibri" w:hAnsi="Calibri"/>
          <w:b w:val="false"/>
          <w:bCs w:val="false"/>
          <w:i w:val="false"/>
          <w:iCs w:val="false"/>
          <w:color w:val="111111"/>
          <w:sz w:val="22"/>
          <w:szCs w:val="22"/>
        </w:rPr>
        <w:t xml:space="preserve">A silhouette score of 0.214 is statistically meaningful but not dramatically high. It reflects the fact that the clusters are real but not perfectly separated — there is genuine overlap, particularly between Cluster 2 and Cluster 3 at the boundaries. This means cluster assignment for borderline customers should be treated as a probability range rather than a hard label, and the model should be combined with business judgement rather than applied mechanically.</w:t>
      </w:r>
    </w:p>
    <w:p>
      <w:pPr>
        <w:spacing w:after="60" w:before="60"/>
      </w:pPr>
      <w:r>
        <w:t xml:space="preserve"/>
      </w:r>
    </w:p>
    <w:p>
      <w:pPr>
        <w:pStyle w:val="Heading2"/>
        <w:spacing w:after="120" w:before="280"/>
      </w:pPr>
      <w:r>
        <w:rPr>
          <w:rFonts w:ascii="Calibri" w:cs="Calibri" w:eastAsia="Calibri" w:hAnsi="Calibri"/>
          <w:b/>
          <w:bCs/>
          <w:color w:val="1A6E82"/>
          <w:sz w:val="28"/>
          <w:szCs w:val="28"/>
        </w:rPr>
        <w:t xml:space="preserve">7.5 Geographic and Temporal Generalisation</w:t>
      </w:r>
    </w:p>
    <w:p>
      <w:pPr>
        <w:spacing w:after="120" w:before="100" w:line="340"/>
        <w:jc w:val="left"/>
      </w:pPr>
      <w:r>
        <w:rPr>
          <w:rFonts w:ascii="Calibri" w:cs="Calibri" w:eastAsia="Calibri" w:hAnsi="Calibri"/>
          <w:b w:val="false"/>
          <w:bCs w:val="false"/>
          <w:i w:val="false"/>
          <w:iCs w:val="false"/>
          <w:color w:val="111111"/>
          <w:sz w:val="22"/>
          <w:szCs w:val="22"/>
        </w:rPr>
        <w:t xml:space="preserve">The IBM Telco dataset is a stylised industry benchmark, not real-world production data from a specific company. The clusters found here may not transfer directly to a different telecommunications provider with a different product mix, geographic market, or pricing structure. Any deployment of this approach on real data would need fresh validation.</w:t>
      </w:r>
    </w:p>
    <w:p>
      <w:r>
        <w:br w:type="page"/>
      </w:r>
    </w:p>
    <w:p>
      <w:pPr>
        <w:pStyle w:val="Heading1"/>
        <w:pBdr>
          <w:bottom w:val="single" w:color="1A6E82" w:sz="8" w:space="4"/>
        </w:pBdr>
        <w:spacing w:after="160" w:before="380"/>
      </w:pPr>
      <w:r>
        <w:rPr>
          <w:rFonts w:ascii="Calibri" w:cs="Calibri" w:eastAsia="Calibri" w:hAnsi="Calibri"/>
          <w:b/>
          <w:bCs/>
          <w:color w:val="1B3A6B"/>
          <w:sz w:val="38"/>
          <w:szCs w:val="38"/>
        </w:rPr>
        <w:t xml:space="preserve">8. Next Steps and Future Improvements</w:t>
      </w:r>
    </w:p>
    <w:p>
      <w:pPr>
        <w:spacing w:after="120" w:before="100" w:line="340"/>
        <w:jc w:val="left"/>
      </w:pPr>
      <w:r>
        <w:rPr>
          <w:rFonts w:ascii="Calibri" w:cs="Calibri" w:eastAsia="Calibri" w:hAnsi="Calibri"/>
          <w:b w:val="false"/>
          <w:bCs w:val="false"/>
          <w:i w:val="false"/>
          <w:iCs w:val="false"/>
          <w:color w:val="111111"/>
          <w:sz w:val="22"/>
          <w:szCs w:val="22"/>
        </w:rPr>
        <w:t xml:space="preserve">Several concrete improvements would make this analysis substantially more powerful in a production context:</w:t>
      </w:r>
    </w:p>
    <w:p>
      <w:pPr>
        <w:spacing w:after="60" w:before="60"/>
      </w:pPr>
      <w:r>
        <w:t xml:space="preserve"/>
      </w:r>
    </w:p>
    <w:p>
      <w:pPr>
        <w:pStyle w:val="Heading2"/>
        <w:spacing w:after="120" w:before="280"/>
      </w:pPr>
      <w:r>
        <w:rPr>
          <w:rFonts w:ascii="Calibri" w:cs="Calibri" w:eastAsia="Calibri" w:hAnsi="Calibri"/>
          <w:b/>
          <w:bCs/>
          <w:color w:val="1A6E82"/>
          <w:sz w:val="28"/>
          <w:szCs w:val="28"/>
        </w:rPr>
        <w:t xml:space="preserve">8.1 Longitudinal Customer Tracking</w:t>
      </w:r>
    </w:p>
    <w:p>
      <w:pPr>
        <w:spacing w:after="120" w:before="100" w:line="340"/>
        <w:jc w:val="left"/>
      </w:pPr>
      <w:r>
        <w:rPr>
          <w:rFonts w:ascii="Calibri" w:cs="Calibri" w:eastAsia="Calibri" w:hAnsi="Calibri"/>
          <w:b w:val="false"/>
          <w:bCs w:val="false"/>
          <w:i w:val="false"/>
          <w:iCs w:val="false"/>
          <w:color w:val="111111"/>
          <w:sz w:val="22"/>
          <w:szCs w:val="22"/>
        </w:rPr>
        <w:t xml:space="preserve">The most impactful upgrade would be replacing the static snapshot with a rolling monthly feature history for each customer. This would enable sequence-aware clustering methods — such as self-organising maps or time-series k-means — that track how customer profiles evolve and flag movement toward high-risk segments before churn actually happens.</w:t>
      </w:r>
    </w:p>
    <w:p>
      <w:pPr>
        <w:spacing w:after="60" w:before="60"/>
      </w:pPr>
      <w:r>
        <w:t xml:space="preserve"/>
      </w:r>
    </w:p>
    <w:p>
      <w:pPr>
        <w:pStyle w:val="Heading2"/>
        <w:spacing w:after="120" w:before="280"/>
      </w:pPr>
      <w:r>
        <w:rPr>
          <w:rFonts w:ascii="Calibri" w:cs="Calibri" w:eastAsia="Calibri" w:hAnsi="Calibri"/>
          <w:b/>
          <w:bCs/>
          <w:color w:val="1A6E82"/>
          <w:sz w:val="28"/>
          <w:szCs w:val="28"/>
        </w:rPr>
        <w:t xml:space="preserve">8.2 SMOTE-Augmented Cluster Validation</w:t>
      </w:r>
    </w:p>
    <w:p>
      <w:pPr>
        <w:spacing w:after="120" w:before="100" w:line="340"/>
        <w:jc w:val="left"/>
      </w:pPr>
      <w:r>
        <w:rPr>
          <w:rFonts w:ascii="Calibri" w:cs="Calibri" w:eastAsia="Calibri" w:hAnsi="Calibri"/>
          <w:b w:val="false"/>
          <w:bCs w:val="false"/>
          <w:i w:val="false"/>
          <w:iCs w:val="false"/>
          <w:color w:val="111111"/>
          <w:sz w:val="22"/>
          <w:szCs w:val="22"/>
        </w:rPr>
        <w:t xml:space="preserve">For the supervised learning extension, applying SMOTE (Synthetic Minority Over-sampling Technique) within each cluster before training the cluster-specific classifiers would address the class imbalance within Cluster 1's training set and potentially improve recall for churn detection in that low-risk segment.</w:t>
      </w:r>
    </w:p>
    <w:p>
      <w:pPr>
        <w:spacing w:after="60" w:before="60"/>
      </w:pPr>
      <w:r>
        <w:t xml:space="preserve"/>
      </w:r>
    </w:p>
    <w:p>
      <w:pPr>
        <w:pStyle w:val="Heading2"/>
        <w:spacing w:after="120" w:before="280"/>
      </w:pPr>
      <w:r>
        <w:rPr>
          <w:rFonts w:ascii="Calibri" w:cs="Calibri" w:eastAsia="Calibri" w:hAnsi="Calibri"/>
          <w:b/>
          <w:bCs/>
          <w:color w:val="1A6E82"/>
          <w:sz w:val="28"/>
          <w:szCs w:val="28"/>
        </w:rPr>
        <w:t xml:space="preserve">8.3 Enriching the Feature Set</w:t>
      </w:r>
    </w:p>
    <w:p>
      <w:pPr>
        <w:spacing w:after="120" w:before="100" w:line="340"/>
        <w:jc w:val="left"/>
      </w:pPr>
      <w:r>
        <w:rPr>
          <w:rFonts w:ascii="Calibri" w:cs="Calibri" w:eastAsia="Calibri" w:hAnsi="Calibri"/>
          <w:b w:val="false"/>
          <w:bCs w:val="false"/>
          <w:i w:val="false"/>
          <w:iCs w:val="false"/>
          <w:color w:val="111111"/>
          <w:sz w:val="22"/>
          <w:szCs w:val="22"/>
        </w:rPr>
        <w:t xml:space="preserve">Several high-signal features are absent from the current dataset but would be available in a real CRM context. These include customer service call volume and resolution rates, Net Promoter Score (NPS) survey responses, contract renewal history, competitor promotional exposure windows, and channel engagement metrics (mobile app, website, in-store). Each of these would likely sharpen the cluster boundaries and add behavioural depth to the current billing-and-contract profiles.</w:t>
      </w:r>
    </w:p>
    <w:p>
      <w:pPr>
        <w:spacing w:after="60" w:before="60"/>
      </w:pPr>
      <w:r>
        <w:t xml:space="preserve"/>
      </w:r>
    </w:p>
    <w:p>
      <w:pPr>
        <w:pStyle w:val="Heading2"/>
        <w:spacing w:after="120" w:before="280"/>
      </w:pPr>
      <w:r>
        <w:rPr>
          <w:rFonts w:ascii="Calibri" w:cs="Calibri" w:eastAsia="Calibri" w:hAnsi="Calibri"/>
          <w:b/>
          <w:bCs/>
          <w:color w:val="1A6E82"/>
          <w:sz w:val="28"/>
          <w:szCs w:val="28"/>
        </w:rPr>
        <w:t xml:space="preserve">8.4 Soft Cluster Assignment</w:t>
      </w:r>
    </w:p>
    <w:p>
      <w:pPr>
        <w:spacing w:after="120" w:before="100" w:line="340"/>
        <w:jc w:val="left"/>
      </w:pPr>
      <w:r>
        <w:rPr>
          <w:rFonts w:ascii="Calibri" w:cs="Calibri" w:eastAsia="Calibri" w:hAnsi="Calibri"/>
          <w:b w:val="false"/>
          <w:bCs w:val="false"/>
          <w:i w:val="false"/>
          <w:iCs w:val="false"/>
          <w:color w:val="111111"/>
          <w:sz w:val="22"/>
          <w:szCs w:val="22"/>
        </w:rPr>
        <w:t xml:space="preserve">Rather than assigning each customer to a single cluster, extending the model to Gaussian Mixture Models (GMMs) would produce per-customer probability distributions across all three segments. A customer with 60% Cluster 2 probability and 35% Cluster 3 probability is a very different retention priority from one with 95% Cluster 2 probability. Soft assignments would allow the Customer Success team to tier their outreach budget more intelligently.</w:t>
      </w:r>
    </w:p>
    <w:p>
      <w:pPr>
        <w:spacing w:after="60" w:before="60"/>
      </w:pPr>
      <w:r>
        <w:t xml:space="preserve"/>
      </w:r>
    </w:p>
    <w:p>
      <w:pPr>
        <w:pStyle w:val="Heading2"/>
        <w:spacing w:after="120" w:before="280"/>
      </w:pPr>
      <w:r>
        <w:rPr>
          <w:rFonts w:ascii="Calibri" w:cs="Calibri" w:eastAsia="Calibri" w:hAnsi="Calibri"/>
          <w:b/>
          <w:bCs/>
          <w:color w:val="1A6E82"/>
          <w:sz w:val="28"/>
          <w:szCs w:val="28"/>
        </w:rPr>
        <w:t xml:space="preserve">8.5 Semi-Supervised Refinement</w:t>
      </w:r>
    </w:p>
    <w:p>
      <w:pPr>
        <w:spacing w:after="120" w:before="100" w:line="340"/>
        <w:jc w:val="left"/>
      </w:pPr>
      <w:r>
        <w:rPr>
          <w:rFonts w:ascii="Calibri" w:cs="Calibri" w:eastAsia="Calibri" w:hAnsi="Calibri"/>
          <w:b w:val="false"/>
          <w:bCs w:val="false"/>
          <w:i w:val="false"/>
          <w:iCs w:val="false"/>
          <w:color w:val="111111"/>
          <w:sz w:val="22"/>
          <w:szCs w:val="22"/>
        </w:rPr>
        <w:t xml:space="preserve">Given that we do have Churn labels available as a post-hoc validation variable, a semi-supervised approach — using the Churn label to constrain or refine the cluster boundaries without fully supervising the segmentation — could produce clusters that are both structurally coherent and more predictive of actual churn outcomes.</w:t>
      </w:r>
    </w:p>
    <w:p>
      <w:pPr>
        <w:spacing w:after="60" w:before="60"/>
      </w:pPr>
      <w:r>
        <w:t xml:space="preserve"/>
      </w:r>
    </w:p>
    <w:p>
      <w:pPr>
        <w:pStyle w:val="Heading2"/>
        <w:spacing w:after="120" w:before="280"/>
      </w:pPr>
      <w:r>
        <w:rPr>
          <w:rFonts w:ascii="Calibri" w:cs="Calibri" w:eastAsia="Calibri" w:hAnsi="Calibri"/>
          <w:b/>
          <w:bCs/>
          <w:color w:val="1A6E82"/>
          <w:sz w:val="28"/>
          <w:szCs w:val="28"/>
        </w:rPr>
        <w:t xml:space="preserve">8.6 Automatic Cluster Count Selection</w:t>
      </w:r>
    </w:p>
    <w:p>
      <w:pPr>
        <w:spacing w:after="120" w:before="100" w:line="340"/>
        <w:jc w:val="left"/>
      </w:pPr>
      <w:r>
        <w:rPr>
          <w:rFonts w:ascii="Calibri" w:cs="Calibri" w:eastAsia="Calibri" w:hAnsi="Calibri"/>
          <w:b w:val="false"/>
          <w:bCs w:val="false"/>
          <w:i w:val="false"/>
          <w:iCs w:val="false"/>
          <w:color w:val="111111"/>
          <w:sz w:val="22"/>
          <w:szCs w:val="22"/>
        </w:rPr>
        <w:t xml:space="preserve">The current analysis used the elbow method and silhouette analysis to choose k=3, but more rigorous automated methods such as the Gap Statistic or Bayesian Information Criterion (BIC, for GMMs) should be implemented in a production pipeline to remove subjectivity from the cluster count decision.</w:t>
      </w:r>
    </w:p>
    <w:p>
      <w:r>
        <w:br w:type="page"/>
      </w:r>
    </w:p>
    <w:p>
      <w:pPr>
        <w:pStyle w:val="Heading1"/>
        <w:pBdr>
          <w:bottom w:val="single" w:color="1A6E82" w:sz="8" w:space="4"/>
        </w:pBdr>
        <w:spacing w:after="160" w:before="380"/>
      </w:pPr>
      <w:r>
        <w:rPr>
          <w:rFonts w:ascii="Calibri" w:cs="Calibri" w:eastAsia="Calibri" w:hAnsi="Calibri"/>
          <w:b/>
          <w:bCs/>
          <w:color w:val="1B3A6B"/>
          <w:sz w:val="38"/>
          <w:szCs w:val="38"/>
        </w:rPr>
        <w:t xml:space="preserve">9. Conclusion</w:t>
      </w:r>
    </w:p>
    <w:p>
      <w:pPr>
        <w:spacing w:after="120" w:before="100" w:line="340"/>
        <w:jc w:val="left"/>
      </w:pPr>
      <w:r>
        <w:rPr>
          <w:rFonts w:ascii="Calibri" w:cs="Calibri" w:eastAsia="Calibri" w:hAnsi="Calibri"/>
          <w:b w:val="false"/>
          <w:bCs w:val="false"/>
          <w:i w:val="false"/>
          <w:iCs w:val="false"/>
          <w:color w:val="111111"/>
          <w:sz w:val="22"/>
          <w:szCs w:val="22"/>
        </w:rPr>
        <w:t xml:space="preserve">The central question this analysis set out to answer was whether the IBM Telco customer base contains distinct, actionable segments — or whether treating all customers as a single population is a reasonable simplification. The answer is clear: the data contains real structure, and ignoring it leaves value on the table.</w:t>
      </w:r>
    </w:p>
    <w:p>
      <w:pPr>
        <w:spacing w:after="60" w:before="60"/>
      </w:pPr>
      <w:r>
        <w:t xml:space="preserve"/>
      </w:r>
    </w:p>
    <w:p>
      <w:pPr>
        <w:spacing w:after="120" w:before="100" w:line="340"/>
        <w:jc w:val="left"/>
      </w:pPr>
      <w:r>
        <w:rPr>
          <w:rFonts w:ascii="Calibri" w:cs="Calibri" w:eastAsia="Calibri" w:hAnsi="Calibri"/>
          <w:b w:val="false"/>
          <w:bCs w:val="false"/>
          <w:i w:val="false"/>
          <w:iCs w:val="false"/>
          <w:color w:val="111111"/>
          <w:sz w:val="22"/>
          <w:szCs w:val="22"/>
        </w:rPr>
        <w:t xml:space="preserve">K-Means clustering with three segments consistently produced the most coherent and interpretable solution across all model variants tested. The three segments — Loyal Veterans, At-Risk Newcomers, and Mid-Tier Fence-Sitters — are not just statistically distinct; they map onto recognisable business realities that practitioners in telecom will immediately recognise.</w:t>
      </w:r>
    </w:p>
    <w:p>
      <w:pPr>
        <w:spacing w:after="60" w:before="60"/>
      </w:pPr>
      <w:r>
        <w:t xml:space="preserve"/>
      </w:r>
    </w:p>
    <w:p>
      <w:pPr>
        <w:spacing w:after="120" w:before="100" w:line="340"/>
        <w:jc w:val="left"/>
      </w:pPr>
      <w:r>
        <w:rPr>
          <w:rFonts w:ascii="Calibri" w:cs="Calibri" w:eastAsia="Calibri" w:hAnsi="Calibri"/>
          <w:b w:val="false"/>
          <w:bCs w:val="false"/>
          <w:i w:val="false"/>
          <w:iCs w:val="false"/>
          <w:color w:val="111111"/>
          <w:sz w:val="22"/>
          <w:szCs w:val="22"/>
        </w:rPr>
        <w:t xml:space="preserve">The supervised learning validation added an important practical dimension: cluster-specific churn models outperform a global model, particularly for the At-Risk Newcomers segment. This means the unsupervised analysis is not just a descriptive exercise — it directly improves the organisation's ability to predict and prevent churn when used as a preprocessing layer for downstream models.</w:t>
      </w:r>
    </w:p>
    <w:p>
      <w:pPr>
        <w:spacing w:after="60" w:before="60"/>
      </w:pPr>
      <w:r>
        <w:t xml:space="preserve"/>
      </w:r>
    </w:p>
    <w:p>
      <w:pPr>
        <w:spacing w:after="120" w:before="100" w:line="340"/>
        <w:jc w:val="left"/>
      </w:pPr>
      <w:r>
        <w:rPr>
          <w:rFonts w:ascii="Calibri" w:cs="Calibri" w:eastAsia="Calibri" w:hAnsi="Calibri"/>
          <w:b w:val="false"/>
          <w:bCs w:val="false"/>
          <w:i w:val="false"/>
          <w:iCs w:val="false"/>
          <w:color w:val="111111"/>
          <w:sz w:val="22"/>
          <w:szCs w:val="22"/>
        </w:rPr>
        <w:t xml:space="preserve">The limitations are real and worth taking seriously: the static nature of the data, the moderate silhouette scores at cluster boundaries, and the absence of behavioural usage features all constrain how far these findings can be pushed. But as a foundation for a more sophisticated, longitudinal customer intelligence programme, this analysis provides a solid and well-validated starting point.</w:t>
      </w:r>
    </w:p>
    <w:p>
      <w:pPr>
        <w:spacing w:after="60" w:before="60"/>
      </w:pPr>
      <w:r>
        <w:t xml:space="preserve"/>
      </w:r>
    </w:p>
    <w:p>
      <w:pPr>
        <w:pBdr>
          <w:top w:val="single" w:color="1A6E82" w:sz="6" w:space="8"/>
        </w:pBdr>
        <w:spacing w:after="200" w:before="400"/>
        <w:jc w:val="center"/>
      </w:pPr>
      <w:r>
        <w:rPr>
          <w:rFonts w:ascii="Calibri" w:cs="Calibri" w:eastAsia="Calibri" w:hAnsi="Calibri"/>
          <w:i/>
          <w:iCs/>
          <w:color w:val="888888"/>
          <w:sz w:val="22"/>
          <w:szCs w:val="22"/>
        </w:rPr>
        <w:t xml:space="preserve">— End of Report —</w:t>
      </w:r>
    </w:p>
    <w:sectPr>
      <w:headerReference w:type="default" r:id="rId7"/>
      <w:footerReference w:type="default" r:id="rId8"/>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E82" w:sz="4" w:space="4"/>
      </w:pBdr>
      <w:jc w:val="center"/>
    </w:pPr>
    <w:r>
      <w:rPr>
        <w:rFonts w:ascii="Calibri" w:cs="Calibri" w:eastAsia="Calibri" w:hAnsi="Calibri"/>
        <w:color w:val="888888"/>
        <w:sz w:val="18"/>
        <w:szCs w:val="18"/>
      </w:rPr>
      <w:t xml:space="preserve">Confidential  |  For Senior Review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E82" w:sz="6" w:space="4"/>
      </w:pBdr>
      <w:jc w:val="right"/>
    </w:pPr>
    <w:r>
      <w:rPr>
        <w:rFonts w:ascii="Calibri" w:cs="Calibri" w:eastAsia="Calibri" w:hAnsi="Calibri"/>
        <w:color w:val="1A6E82"/>
        <w:sz w:val="18"/>
        <w:szCs w:val="18"/>
      </w:rPr>
      <w:t xml:space="preserve">Customer Segmentation — Unsupervised Learning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80"/>
      <w:outlineLvl w:val="0"/>
    </w:pPr>
    <w:rPr>
      <w:rFonts w:ascii="Calibri" w:cs="Calibri" w:eastAsia="Calibri" w:hAnsi="Calibri"/>
      <w:b/>
      <w:bCs/>
      <w:color w:val="1B3A6B"/>
      <w:sz w:val="38"/>
      <w:szCs w:val="38"/>
    </w:rPr>
  </w:style>
  <w:style w:type="paragraph" w:styleId="Heading2">
    <w:name w:val="Heading 2"/>
    <w:basedOn w:val="Normal"/>
    <w:next w:val="Normal"/>
    <w:qFormat/>
    <w:pPr>
      <w:spacing w:after="120" w:before="280"/>
      <w:outlineLvl w:val="1"/>
    </w:pPr>
    <w:rPr>
      <w:rFonts w:ascii="Calibri" w:cs="Calibri" w:eastAsia="Calibri" w:hAnsi="Calibri"/>
      <w:b/>
      <w:bCs/>
      <w:color w:val="1A6E82"/>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2026-06-09T19:25:00.431Z</dcterms:created>
  <dcterms:modified xsi:type="dcterms:W3CDTF">2026-06-09T19:25:00.443Z</dcterms:modified>
</cp:coreProperties>
</file>

<file path=docProps/custom.xml><?xml version="1.0" encoding="utf-8"?>
<Properties xmlns="http://schemas.openxmlformats.org/officeDocument/2006/custom-properties" xmlns:vt="http://schemas.openxmlformats.org/officeDocument/2006/docPropsVTypes"/>
</file>