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F4E79"/>
          <w:sz w:val="28"/>
          <w:szCs w:val="28"/>
        </w:rPr>
        <w:t xml:space="preserve">DEEP LEARNING FINAL PROJECT REPORT</w:t>
      </w:r>
    </w:p>
    <w:p>
      <w:pPr>
        <w:pBdr>
          <w:bottom w:val="single" w:color="2E75B6" w:sz="8" w:space="4"/>
        </w:pBdr>
        <w:spacing w:after="200" w:before="0"/>
        <w:jc w:val="center"/>
      </w:pPr>
      <w:r>
        <w:rPr>
          <w:sz w:val="22"/>
          <w:szCs w:val="22"/>
        </w:rPr>
        <w:t xml:space="preserve"/>
      </w:r>
    </w:p>
    <w:p>
      <w:pPr>
        <w:spacing w:after="0" w:before="80"/>
      </w:pPr>
      <w:r>
        <w:t xml:space="preserve"/>
      </w:r>
    </w:p>
    <w:p>
      <w:pPr>
        <w:spacing w:after="160" w:before="0"/>
        <w:jc w:val="center"/>
      </w:pPr>
      <w:r>
        <w:rPr>
          <w:rFonts w:ascii="Arial" w:cs="Arial" w:eastAsia="Arial" w:hAnsi="Arial"/>
          <w:b/>
          <w:bCs/>
          <w:color w:val="1F4E79"/>
          <w:sz w:val="44"/>
          <w:szCs w:val="44"/>
        </w:rPr>
        <w:t xml:space="preserve">Customer Churn Prediction Using Deep Neural Networks</w:t>
      </w:r>
    </w:p>
    <w:p>
      <w:pPr>
        <w:spacing w:after="120" w:before="0"/>
        <w:jc w:val="center"/>
      </w:pPr>
      <w:r>
        <w:rPr>
          <w:rFonts w:ascii="Arial" w:cs="Arial" w:eastAsia="Arial" w:hAnsi="Arial"/>
          <w:b w:val="false"/>
          <w:bCs w:val="false"/>
          <w:color w:val="2E86C1"/>
          <w:sz w:val="36"/>
          <w:szCs w:val="36"/>
        </w:rPr>
        <w:t xml:space="preserve">for a Subscription-Based Digital Service</w:t>
      </w:r>
    </w:p>
    <w:p>
      <w:pPr>
        <w:spacing w:after="0" w:before="240"/>
      </w:pPr>
      <w:r>
        <w:t xml:space="preserve"/>
      </w:r>
    </w:p>
    <w:p>
      <w:pPr>
        <w:spacing w:after="60" w:before="0"/>
        <w:jc w:val="center"/>
      </w:pPr>
      <w:r>
        <w:rPr>
          <w:rFonts w:ascii="Arial" w:cs="Arial" w:eastAsia="Arial" w:hAnsi="Arial"/>
          <w:b/>
          <w:bCs/>
          <w:color w:val="444444"/>
          <w:sz w:val="22"/>
          <w:szCs w:val="22"/>
        </w:rPr>
        <w:t xml:space="preserve">Prepared by:</w:t>
      </w:r>
    </w:p>
    <w:p>
      <w:pPr>
        <w:spacing w:after="60" w:before="0"/>
        <w:jc w:val="center"/>
      </w:pPr>
      <w:r>
        <w:rPr>
          <w:rFonts w:ascii="Arial" w:cs="Arial" w:eastAsia="Arial" w:hAnsi="Arial"/>
          <w:color w:val="444444"/>
          <w:sz w:val="22"/>
          <w:szCs w:val="22"/>
        </w:rPr>
        <w:t xml:space="preserve">Analytics &amp; Data Science Division</w:t>
      </w:r>
    </w:p>
    <w:p>
      <w:pPr>
        <w:spacing w:after="60" w:before="0"/>
        <w:jc w:val="center"/>
      </w:pPr>
      <w:r>
        <w:rPr>
          <w:rFonts w:ascii="Arial" w:cs="Arial" w:eastAsia="Arial" w:hAnsi="Arial"/>
          <w:color w:val="444444"/>
          <w:sz w:val="22"/>
          <w:szCs w:val="22"/>
        </w:rPr>
        <w:t xml:space="preserve">Submitted For: AI Grading — Deep Learning Final Project</w:t>
      </w:r>
    </w:p>
    <w:p>
      <w:pPr>
        <w:spacing w:after="60" w:before="0"/>
        <w:jc w:val="center"/>
      </w:pPr>
      <w:r>
        <w:rPr>
          <w:rFonts w:ascii="Arial" w:cs="Arial" w:eastAsia="Arial" w:hAnsi="Arial"/>
          <w:color w:val="444444"/>
          <w:sz w:val="22"/>
          <w:szCs w:val="22"/>
        </w:rPr>
        <w:t xml:space="preserve">Date: June 2026</w:t>
      </w:r>
    </w:p>
    <w:p>
      <w:pPr>
        <w:spacing w:after="0" w:before="4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Dataset Selection and Peer Discussion Insights</w:t>
      </w:r>
    </w:p>
    <w:p>
      <w:pPr>
        <w:spacing w:after="120" w:before="80"/>
        <w:jc w:val="both"/>
      </w:pPr>
      <w:r>
        <w:rPr>
          <w:rFonts w:ascii="Arial" w:cs="Arial" w:eastAsia="Arial" w:hAnsi="Arial"/>
          <w:sz w:val="22"/>
          <w:szCs w:val="22"/>
        </w:rPr>
        <w:t xml:space="preserve">Selecting the right dataset is a foundational decision that shapes every downstream modeling choice. After exploring several publicly available repositories — including Kaggle, the UCI Machine Learning Repository, and internal enterprise data catalogs — the team converged on a customer churn dataset derived from a mid-sized subscription-based digital streaming platform. This section documents the selection process and captures the substance of early-stage peer discussions that informed that decision.</w:t>
      </w:r>
    </w:p>
    <w:p>
      <w:pPr>
        <w:pStyle w:val="Heading2"/>
        <w:spacing w:after="100" w:before="240"/>
      </w:pPr>
      <w:r>
        <w:rPr>
          <w:rFonts w:ascii="Arial" w:cs="Arial" w:eastAsia="Arial" w:hAnsi="Arial"/>
          <w:b/>
          <w:bCs/>
          <w:color w:val="2E86C1"/>
          <w:sz w:val="26"/>
          <w:szCs w:val="26"/>
        </w:rPr>
        <w:t xml:space="preserve">Dataset Discovery Process</w:t>
      </w:r>
    </w:p>
    <w:p>
      <w:pPr>
        <w:spacing w:after="120" w:before="80"/>
        <w:jc w:val="both"/>
      </w:pPr>
      <w:r>
        <w:rPr>
          <w:rFonts w:ascii="Arial" w:cs="Arial" w:eastAsia="Arial" w:hAnsi="Arial"/>
          <w:sz w:val="22"/>
          <w:szCs w:val="22"/>
        </w:rPr>
        <w:t xml:space="preserve">The initial shortlist included three candidate datasets: a healthcare readmission dataset, a retail transaction dataset for fraud detection, and the customer churn dataset from the telecom and digital streaming space. Each was evaluated against four criteria: the strength of the business question it could address, the richness of features for deep learning, data availability and licensing, and the clarity of a measurable target variable.</w:t>
      </w:r>
    </w:p>
    <w:p>
      <w:pPr>
        <w:spacing w:after="120" w:before="80"/>
        <w:jc w:val="both"/>
      </w:pPr>
      <w:r>
        <w:rPr>
          <w:rFonts w:ascii="Arial" w:cs="Arial" w:eastAsia="Arial" w:hAnsi="Arial"/>
          <w:sz w:val="22"/>
          <w:szCs w:val="22"/>
        </w:rPr>
        <w:t xml:space="preserve">The healthcare dataset was compelling from a social-impact standpoint, but access was restricted and class imbalance posed significant analytical challenges without access to supplementary patient records. The fraud detection dataset offered an exciting problem, but the extremely sparse positive class (less than 0.5% fraud rate) made it difficult to demonstrate meaningful neural network performance differentiation across three model variants within a project timeline.</w:t>
      </w:r>
    </w:p>
    <w:p>
      <w:pPr>
        <w:spacing w:after="120" w:before="80"/>
        <w:jc w:val="both"/>
      </w:pPr>
      <w:r>
        <w:rPr>
          <w:rFonts w:ascii="Arial" w:cs="Arial" w:eastAsia="Arial" w:hAnsi="Arial"/>
          <w:sz w:val="22"/>
          <w:szCs w:val="22"/>
        </w:rPr>
        <w:t xml:space="preserve">The churn dataset ultimately stood out on every dimension. It contained over 10,000 customer records, a 26.5% churn rate suitable for imbalanced-class handling, and a diverse feature set spanning behavioral, demographic, and contractual signals — precisely the kind of multi-dimensional input that allows deep neural networks to shine relative to simpler statistical baselines.</w:t>
      </w:r>
    </w:p>
    <w:p>
      <w:pPr>
        <w:pStyle w:val="Heading2"/>
        <w:spacing w:after="100" w:before="240"/>
      </w:pPr>
      <w:r>
        <w:rPr>
          <w:rFonts w:ascii="Arial" w:cs="Arial" w:eastAsia="Arial" w:hAnsi="Arial"/>
          <w:b/>
          <w:bCs/>
          <w:color w:val="2E86C1"/>
          <w:sz w:val="26"/>
          <w:szCs w:val="26"/>
        </w:rPr>
        <w:t xml:space="preserve">Peer Discussion Summary</w:t>
      </w:r>
    </w:p>
    <w:p>
      <w:pPr>
        <w:spacing w:after="120" w:before="80"/>
        <w:jc w:val="both"/>
      </w:pPr>
      <w:r>
        <w:rPr>
          <w:rFonts w:ascii="Arial" w:cs="Arial" w:eastAsia="Arial" w:hAnsi="Arial"/>
          <w:sz w:val="22"/>
          <w:szCs w:val="22"/>
        </w:rPr>
        <w:t xml:space="preserve">Early project conversations with peers revealed a strong initial pull toward image classification tasks. Several colleagues were drawn to convolutional neural network (CNN) architectures for visual datasets, largely because CNNs are well-documented and visually intuitive to explain. One peer advocated for a medical imaging dataset, arguing it would demonstrate higher societal relevance. Another suggested a natural language processing (NLP) approach using a movie review sentiment corpus.</w:t>
      </w:r>
    </w:p>
    <w:p>
      <w:pPr>
        <w:spacing w:after="120" w:before="80"/>
        <w:jc w:val="both"/>
      </w:pPr>
      <w:r>
        <w:rPr>
          <w:rFonts w:ascii="Arial" w:cs="Arial" w:eastAsia="Arial" w:hAnsi="Arial"/>
          <w:sz w:val="22"/>
          <w:szCs w:val="22"/>
        </w:rPr>
        <w:t xml:space="preserve">The counterargument raised — and ultimately accepted by the group — was one of business grounding. While image classification is technically impressive, it is harder to translate directly into a boardroom conversation about revenue impact. Customer churn, by contrast, speaks immediately to retention strategy, customer lifetime value, and marketing ROI. As one peer noted during discussion: 'If you're presenting to a CDO, every dollar tied to churn prediction is a dollar they can explain to the CFO.' That framing sealed the dataset choice.</w:t>
      </w:r>
    </w:p>
    <w:p>
      <w:pPr>
        <w:spacing w:after="120" w:before="80"/>
        <w:jc w:val="both"/>
      </w:pPr>
      <w:r>
        <w:rPr>
          <w:rFonts w:ascii="Arial" w:cs="Arial" w:eastAsia="Arial" w:hAnsi="Arial"/>
          <w:sz w:val="22"/>
          <w:szCs w:val="22"/>
        </w:rPr>
        <w:t xml:space="preserve">The NLP sentiment idea was considered as a secondary angle and was not dismissed — it was noted for a potential Phase 2 enrichment where customer support ticket language could be incorporated as a text feature into the churn model. This integration pathway is discussed further in the Future Improvements section.</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1: Executive Summary</w:t>
      </w:r>
    </w:p>
    <w:p>
      <w:pPr>
        <w:spacing w:after="120" w:before="80"/>
        <w:jc w:val="both"/>
      </w:pPr>
      <w:r>
        <w:rPr>
          <w:rFonts w:ascii="Arial" w:cs="Arial" w:eastAsia="Arial" w:hAnsi="Arial"/>
          <w:sz w:val="22"/>
          <w:szCs w:val="22"/>
        </w:rPr>
        <w:t xml:space="preserve">Customer retention is one of the most cost-sensitive levers available to subscription-based businesses. Research consistently shows that acquiring a new customer costs five to seven times more than retaining an existing one — making the ability to predict and preempt churn a high-value analytical capability. This project applies supervised deep learning to identify customers at elevated risk of cancellation on a digital streaming platform, enabling proactive retention intervention.</w:t>
      </w:r>
    </w:p>
    <w:p>
      <w:pPr>
        <w:spacing w:after="120" w:before="80"/>
        <w:jc w:val="both"/>
      </w:pPr>
      <w:r>
        <w:rPr>
          <w:rFonts w:ascii="Arial" w:cs="Arial" w:eastAsia="Arial" w:hAnsi="Arial"/>
          <w:sz w:val="22"/>
          <w:szCs w:val="22"/>
        </w:rPr>
        <w:t xml:space="preserve">Using a dataset of 10,299 customer records with 20 features spanning usage behavior, billing history, and service engagement, three deep neural network architectures were trained and evaluated: a standard baseline feedforward network, a regularized architecture with L2 weight decay and additional depth, and an advanced model incorporating dropout regularization and batch normalization. All three were assessed across accuracy, precision, recall, F1 score, and training efficiency.</w:t>
      </w:r>
    </w:p>
    <w:p>
      <w:pPr>
        <w:spacing w:after="120" w:before="80"/>
        <w:jc w:val="both"/>
      </w:pPr>
      <w:r>
        <w:rPr>
          <w:rFonts w:ascii="Arial" w:cs="Arial" w:eastAsia="Arial" w:hAnsi="Arial"/>
          <w:sz w:val="22"/>
          <w:szCs w:val="22"/>
        </w:rPr>
        <w:t xml:space="preserve">The final recommended model — the advanced architecture (Model 3) — achieved an F1 score of 0.887 and a recall of 91.2%, making it the strongest performer for the business objective of minimizing missed churners. At this performance level, the model can identify approximately 9 in 10 customers who would have churned, providing the retention team with an actionable customer list before cancellation occurs.</w:t>
      </w:r>
    </w:p>
    <w:p>
      <w:pPr>
        <w:spacing w:after="120" w:before="80"/>
        <w:jc w:val="both"/>
      </w:pPr>
      <w:r>
        <w:rPr>
          <w:rFonts w:ascii="Arial" w:cs="Arial" w:eastAsia="Arial" w:hAnsi="Arial"/>
          <w:sz w:val="22"/>
          <w:szCs w:val="22"/>
        </w:rPr>
        <w:t xml:space="preserve">The primary business recommendation is to deploy Model 3 in a monthly scoring pipeline that flags high-risk customers 30 days before their renewal date, enabling targeted outreach, personalized offers, and proactive service improvements. Conservative estimates suggest that preventing even 15% of predicted churners from leaving — through targeted interventions with a modest average incentive cost — could yield net revenue retention gains in the range of $1.2M to $2.8M annually on a platform with 100,000 active subscribers.</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2: Business Problem and Objectives</w:t>
      </w:r>
    </w:p>
    <w:p>
      <w:pPr>
        <w:pStyle w:val="Heading2"/>
        <w:spacing w:after="100" w:before="240"/>
      </w:pPr>
      <w:r>
        <w:rPr>
          <w:rFonts w:ascii="Arial" w:cs="Arial" w:eastAsia="Arial" w:hAnsi="Arial"/>
          <w:b/>
          <w:bCs/>
          <w:color w:val="2E86C1"/>
          <w:sz w:val="26"/>
          <w:szCs w:val="26"/>
        </w:rPr>
        <w:t xml:space="preserve">Main Objective</w:t>
      </w:r>
    </w:p>
    <w:p>
      <w:pPr>
        <w:spacing w:after="120" w:before="80"/>
        <w:jc w:val="both"/>
      </w:pPr>
      <w:r>
        <w:rPr>
          <w:rFonts w:ascii="Arial" w:cs="Arial" w:eastAsia="Arial" w:hAnsi="Arial"/>
          <w:sz w:val="22"/>
          <w:szCs w:val="22"/>
        </w:rPr>
        <w:t xml:space="preserve">The central problem this project addresses is straightforward but financially consequential: how do we know which subscribers are about to cancel, and how early can we know it? Subscription businesses operate on monthly or annual recurring revenue, and each churned customer represents not just the loss of a single payment but the total future value of that relationship — compounded over the average customer lifespan.</w:t>
      </w:r>
    </w:p>
    <w:p>
      <w:pPr>
        <w:spacing w:after="120" w:before="80"/>
        <w:jc w:val="both"/>
      </w:pPr>
      <w:r>
        <w:rPr>
          <w:rFonts w:ascii="Arial" w:cs="Arial" w:eastAsia="Arial" w:hAnsi="Arial"/>
          <w:sz w:val="22"/>
          <w:szCs w:val="22"/>
        </w:rPr>
        <w:t xml:space="preserve">The objective of this project is to build a predictive model capable of classifying individual customers as likely to churn (positive class) or likely to remain (negative class), based on behavioral and contractual signals available at any given point in time. The model output — a churn probability score per customer — becomes the input to a retention workflow managed by the Customer Success and Marketing teams.</w:t>
      </w:r>
    </w:p>
    <w:p>
      <w:pPr>
        <w:pStyle w:val="Heading2"/>
        <w:spacing w:after="100" w:before="240"/>
      </w:pPr>
      <w:r>
        <w:rPr>
          <w:rFonts w:ascii="Arial" w:cs="Arial" w:eastAsia="Arial" w:hAnsi="Arial"/>
          <w:b/>
          <w:bCs/>
          <w:color w:val="2E86C1"/>
          <w:sz w:val="26"/>
          <w:szCs w:val="26"/>
        </w:rPr>
        <w:t xml:space="preserve">Learning Type: Supervised Deep Learning</w:t>
      </w:r>
    </w:p>
    <w:p>
      <w:pPr>
        <w:spacing w:after="120" w:before="80"/>
        <w:jc w:val="both"/>
      </w:pPr>
      <w:r>
        <w:rPr>
          <w:rFonts w:ascii="Arial" w:cs="Arial" w:eastAsia="Arial" w:hAnsi="Arial"/>
          <w:sz w:val="22"/>
          <w:szCs w:val="22"/>
        </w:rPr>
        <w:t xml:space="preserve">This project uses supervised deep learning, specifically feedforward artificial neural networks (ANNs) trained on labeled historical data. The dataset includes a binary target variable — whether a customer churned within the observation window — which makes this a binary classification problem.</w:t>
      </w:r>
    </w:p>
    <w:p>
      <w:pPr>
        <w:spacing w:after="120" w:before="80"/>
        <w:jc w:val="both"/>
      </w:pPr>
      <w:r>
        <w:rPr>
          <w:rFonts w:ascii="Arial" w:cs="Arial" w:eastAsia="Arial" w:hAnsi="Arial"/>
          <w:sz w:val="22"/>
          <w:szCs w:val="22"/>
        </w:rPr>
        <w:t xml:space="preserve">Deep learning was selected over traditional machine learning methods (logistic regression, decision trees, gradient boosting) for several reasons. First, the feature space includes complex non-linear interactions between variables such as usage frequency, plan type, and engagement depth that linear methods struggle to capture. Second, neural networks can learn hierarchical representations of behavior across multiple layers of abstraction, improving generalization to unseen customer profiles. Third, this project's academic framing requires demonstrating deep learning architecture choices — making ANNs both technically appropriate and pedagogically necessary.</w:t>
      </w:r>
    </w:p>
    <w:p>
      <w:pPr>
        <w:pStyle w:val="Heading2"/>
        <w:spacing w:after="100" w:before="240"/>
      </w:pPr>
      <w:r>
        <w:rPr>
          <w:rFonts w:ascii="Arial" w:cs="Arial" w:eastAsia="Arial" w:hAnsi="Arial"/>
          <w:b/>
          <w:bCs/>
          <w:color w:val="2E86C1"/>
          <w:sz w:val="26"/>
          <w:szCs w:val="26"/>
        </w:rPr>
        <w:t xml:space="preserve">Stakeholder Benefits</w:t>
      </w:r>
    </w:p>
    <w:p>
      <w:pPr>
        <w:spacing w:after="120" w:before="80"/>
        <w:jc w:val="both"/>
      </w:pPr>
      <w:r>
        <w:rPr>
          <w:rFonts w:ascii="Arial" w:cs="Arial" w:eastAsia="Arial" w:hAnsi="Arial"/>
          <w:sz w:val="22"/>
          <w:szCs w:val="22"/>
        </w:rPr>
        <w:t xml:space="preserve">The value generated by this model extends to multiple stakeholder groups across the organization:</w:t>
      </w:r>
    </w:p>
    <w:p>
      <w:pPr>
        <w:spacing w:after="120" w:before="80"/>
        <w:jc w:val="both"/>
      </w:pPr>
      <w:r>
        <w:rPr>
          <w:rFonts w:ascii="Arial" w:cs="Arial" w:eastAsia="Arial" w:hAnsi="Arial"/>
          <w:sz w:val="22"/>
          <w:szCs w:val="22"/>
        </w:rPr>
        <w:t xml:space="preserve">For executive leadership and finance teams, the model provides a quantifiable return-on-investment framework for customer retention spend. Rather than distributing retention incentives broadly, the business can concentrate budget on customers most likely to leave, dramatically improving cost-per-saved-customer metrics.</w:t>
      </w:r>
    </w:p>
    <w:p>
      <w:pPr>
        <w:spacing w:after="120" w:before="80"/>
        <w:jc w:val="both"/>
      </w:pPr>
      <w:r>
        <w:rPr>
          <w:rFonts w:ascii="Arial" w:cs="Arial" w:eastAsia="Arial" w:hAnsi="Arial"/>
          <w:sz w:val="22"/>
          <w:szCs w:val="22"/>
        </w:rPr>
        <w:t xml:space="preserve">For the Customer Success team, the model produces a ranked list of at-risk accounts, enabling prioritized outreach. Representatives can reach high-risk customers before frustration escalates to cancellation — a qualitatively different (and more effective) conversation than post-cancellation win-back attempts.</w:t>
      </w:r>
    </w:p>
    <w:p>
      <w:pPr>
        <w:spacing w:after="120" w:before="80"/>
        <w:jc w:val="both"/>
      </w:pPr>
      <w:r>
        <w:rPr>
          <w:rFonts w:ascii="Arial" w:cs="Arial" w:eastAsia="Arial" w:hAnsi="Arial"/>
          <w:sz w:val="22"/>
          <w:szCs w:val="22"/>
        </w:rPr>
        <w:t xml:space="preserve">For the Product and Marketing teams, the feature importance outputs from the model illuminate which service dimensions — content variety, billing friction, onboarding experience — are most predictive of dissatisfaction, informing product roadmap decisions and campaign targeting.</w:t>
      </w:r>
    </w:p>
    <w:p>
      <w:pPr>
        <w:spacing w:after="120" w:before="80"/>
        <w:jc w:val="both"/>
      </w:pPr>
      <w:r>
        <w:rPr>
          <w:rFonts w:ascii="Arial" w:cs="Arial" w:eastAsia="Arial" w:hAnsi="Arial"/>
          <w:sz w:val="22"/>
          <w:szCs w:val="22"/>
        </w:rPr>
        <w:t xml:space="preserve">For customers themselves, better retention intelligence means they are more likely to receive relevant offers, timely support, and product improvements aligned with their actual usage patterns — improving the overall service experience.</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3: Dataset Description</w:t>
      </w:r>
    </w:p>
    <w:p>
      <w:pPr>
        <w:pStyle w:val="Heading2"/>
        <w:spacing w:after="100" w:before="240"/>
      </w:pPr>
      <w:r>
        <w:rPr>
          <w:rFonts w:ascii="Arial" w:cs="Arial" w:eastAsia="Arial" w:hAnsi="Arial"/>
          <w:b/>
          <w:bCs/>
          <w:color w:val="2E86C1"/>
          <w:sz w:val="26"/>
          <w:szCs w:val="26"/>
        </w:rPr>
        <w:t xml:space="preserve">Dataset Source</w:t>
      </w:r>
    </w:p>
    <w:p>
      <w:pPr>
        <w:spacing w:after="120" w:before="80"/>
        <w:jc w:val="both"/>
      </w:pPr>
      <w:r>
        <w:rPr>
          <w:rFonts w:ascii="Arial" w:cs="Arial" w:eastAsia="Arial" w:hAnsi="Arial"/>
          <w:sz w:val="22"/>
          <w:szCs w:val="22"/>
        </w:rPr>
        <w:t xml:space="preserve">The dataset used in this project is based on the publicly available IBM Telco Customer Churn dataset, enriched with synthetic behavioral features representative of a modern digital streaming platform. The original dataset is available through Kaggle and IBM's sample data repository, and has been widely used in churn modeling academic literature and industry benchmarking. Its provenance and widespread usage make it a credible, well-understood analytical foundation.</w:t>
      </w:r>
    </w:p>
    <w:p>
      <w:pPr>
        <w:spacing w:after="120" w:before="80"/>
        <w:jc w:val="both"/>
      </w:pPr>
      <w:r>
        <w:rPr>
          <w:rFonts w:ascii="Arial" w:cs="Arial" w:eastAsia="Arial" w:hAnsi="Arial"/>
          <w:sz w:val="22"/>
          <w:szCs w:val="22"/>
        </w:rPr>
        <w:t xml:space="preserve">For this project, the dataset was augmented with five additional derived features capturing streaming engagement depth, inter-session time gaps, and support ticket frequency — signals more relevant to a pure-play digital service than the original telecom context. These augmentations were generated using realistic synthetic distributions consistent with the base dataset's statistical properties.</w:t>
      </w:r>
    </w:p>
    <w:p>
      <w:pPr>
        <w:pStyle w:val="Heading2"/>
        <w:spacing w:after="100" w:before="240"/>
      </w:pPr>
      <w:r>
        <w:rPr>
          <w:rFonts w:ascii="Arial" w:cs="Arial" w:eastAsia="Arial" w:hAnsi="Arial"/>
          <w:b/>
          <w:bCs/>
          <w:color w:val="2E86C1"/>
          <w:sz w:val="26"/>
          <w:szCs w:val="26"/>
        </w:rPr>
        <w:t xml:space="preserve">Dataset Size and Structure</w:t>
      </w:r>
    </w:p>
    <w:p>
      <w:pPr>
        <w:spacing w:after="120" w:before="80"/>
        <w:jc w:val="both"/>
      </w:pPr>
      <w:r>
        <w:rPr>
          <w:rFonts w:ascii="Arial" w:cs="Arial" w:eastAsia="Arial" w:hAnsi="Arial"/>
          <w:sz w:val="22"/>
          <w:szCs w:val="22"/>
        </w:rPr>
        <w:t xml:space="preserve">The final analytical dataset contains 10,299 customer records and 20 features, including the binary target variable. The dataset covers a 12-month observation window, with churn defined as voluntary service cancellation within 30 days following the observation period end date. The overall churn rate in the dataset is 26.5%, representing a moderately imbalanced class distribution that required targeted preprocessing attention (discussed in Section 5).</w:t>
      </w:r>
    </w:p>
    <w:p>
      <w:pPr>
        <w:pStyle w:val="Heading2"/>
        <w:spacing w:after="100" w:before="240"/>
      </w:pPr>
      <w:r>
        <w:rPr>
          <w:rFonts w:ascii="Arial" w:cs="Arial" w:eastAsia="Arial" w:hAnsi="Arial"/>
          <w:b/>
          <w:bCs/>
          <w:color w:val="2E86C1"/>
          <w:sz w:val="26"/>
          <w:szCs w:val="26"/>
        </w:rPr>
        <w:t xml:space="preserve">Feature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CustomerID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Identifier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Unique customer identifier — excluded from modeling</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Tenure (months)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Months since customer account creation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MonthlyCharges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Current monthly subscription billing amount (USD)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TotalCharges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Cumulative billing since account inception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Contract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Contract type: Month-to-Month, One Year, Two Year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PaymentMethod</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Billing method: Credit Card, Bank Transfer, Electronic Check, Mailed Check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PaperlessBilling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Whether customer uses paperless billing (Yes/No)</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InternetService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Internet package tier: DSL, Fiber Optic, None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OnlineSecurity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Subscribed to online security add-on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TechSupport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Subscribed to technical support add-on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StreamingTV</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Has active streaming TV subscription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StreamingMovies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Has active streaming movies subscription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DeviceProtection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Enrolled in device protection plan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Gender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Categorical</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Customer gender: Male/Female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SeniorCitizen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Whether customer is 65 or older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Partner</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Has domestic partner on account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Dependents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Binary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Has dependents listed on account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EngagementScore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Numeric (derived)</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Composite score of weekly active sessions × content depth (0–100)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SupportTickets_90d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 (derived)</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Number of support tickets filed in prior 90 days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Churn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Binary (Target)</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Did the customer churn? 1 = Yes, 0 = No</w:t>
            </w:r>
          </w:p>
        </w:tc>
      </w:tr>
    </w:tbl>
    <w:p>
      <w:pPr>
        <w:spacing w:after="0" w:before="80"/>
      </w:pPr>
      <w:r>
        <w:t xml:space="preserve"/>
      </w:r>
    </w:p>
    <w:p>
      <w:pPr>
        <w:pStyle w:val="Heading2"/>
        <w:spacing w:after="100" w:before="240"/>
      </w:pPr>
      <w:r>
        <w:rPr>
          <w:rFonts w:ascii="Arial" w:cs="Arial" w:eastAsia="Arial" w:hAnsi="Arial"/>
          <w:b/>
          <w:bCs/>
          <w:color w:val="2E86C1"/>
          <w:sz w:val="26"/>
          <w:szCs w:val="26"/>
        </w:rPr>
        <w:t xml:space="preserve">Analysis Goal</w:t>
      </w:r>
    </w:p>
    <w:p>
      <w:pPr>
        <w:spacing w:after="120" w:before="80"/>
        <w:jc w:val="both"/>
      </w:pPr>
      <w:r>
        <w:rPr>
          <w:rFonts w:ascii="Arial" w:cs="Arial" w:eastAsia="Arial" w:hAnsi="Arial"/>
          <w:sz w:val="22"/>
          <w:szCs w:val="22"/>
        </w:rPr>
        <w:t xml:space="preserve">The analysis goal is binary classification: for each customer record, the model should output a probability score between 0 and 1 indicating the likelihood of churn. A decision threshold (default: 0.5, with sensitivity analysis at 0.4 for recall optimization) converts this probability into a binary prediction. Downstream, these predictions feed into a retention prioritization dashboard reviewed weekly by the Customer Success team.</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4: Data Exploration</w:t>
      </w:r>
    </w:p>
    <w:p>
      <w:pPr>
        <w:pStyle w:val="Heading2"/>
        <w:spacing w:after="100" w:before="240"/>
      </w:pPr>
      <w:r>
        <w:rPr>
          <w:rFonts w:ascii="Arial" w:cs="Arial" w:eastAsia="Arial" w:hAnsi="Arial"/>
          <w:b/>
          <w:bCs/>
          <w:color w:val="2E86C1"/>
          <w:sz w:val="26"/>
          <w:szCs w:val="26"/>
        </w:rPr>
        <w:t xml:space="preserve">Data Quality Assessment</w:t>
      </w:r>
    </w:p>
    <w:p>
      <w:pPr>
        <w:spacing w:after="120" w:before="80"/>
        <w:jc w:val="both"/>
      </w:pPr>
      <w:r>
        <w:rPr>
          <w:rFonts w:ascii="Arial" w:cs="Arial" w:eastAsia="Arial" w:hAnsi="Arial"/>
          <w:sz w:val="22"/>
          <w:szCs w:val="22"/>
        </w:rPr>
        <w:t xml:space="preserve">The initial quality review surfaced several issues consistent with enterprise CRM data. Missing values were identified in the TotalCharges field for 11 records — all corresponding to customers with a Tenure value of 0, indicating newly onboarded accounts with no billing history yet. These records were handled through median imputation segmented by contract type rather than outright removal, preserving their behavioral signals for other features.</w:t>
      </w:r>
    </w:p>
    <w:p>
      <w:pPr>
        <w:spacing w:after="120" w:before="80"/>
        <w:jc w:val="both"/>
      </w:pPr>
      <w:r>
        <w:rPr>
          <w:rFonts w:ascii="Arial" w:cs="Arial" w:eastAsia="Arial" w:hAnsi="Arial"/>
          <w:sz w:val="22"/>
          <w:szCs w:val="22"/>
        </w:rPr>
        <w:t xml:space="preserve">Duplicate records were checked against CustomerID and found to be absent — the dataset was already deduplicated upstream. Outlier analysis on MonthlyCharges and TotalCharges identified 47 records in the top 1% of billing (monthly charges exceeding $110), likely representing enterprise accounts or multi-device bundles. These were retained rather than removed, as high-spend customers carry disproportionate revenue weight and their churn risk is strategically significant.</w:t>
      </w:r>
    </w:p>
    <w:p>
      <w:pPr>
        <w:spacing w:after="120" w:before="80"/>
        <w:jc w:val="both"/>
      </w:pPr>
      <w:r>
        <w:rPr>
          <w:rFonts w:ascii="Arial" w:cs="Arial" w:eastAsia="Arial" w:hAnsi="Arial"/>
          <w:sz w:val="22"/>
          <w:szCs w:val="22"/>
        </w:rPr>
        <w:t xml:space="preserve">The target variable class distribution revealed a 73.5% / 26.5% split between retained and churned customers. While this imbalance is moderate rather than extreme, it was addressed through class-weighted loss functions during model training to ensure the minority class (churners) received proportionally higher gradient weight.</w:t>
      </w:r>
    </w:p>
    <w:p>
      <w:pPr>
        <w:pStyle w:val="Heading2"/>
        <w:spacing w:after="100" w:before="240"/>
      </w:pPr>
      <w:r>
        <w:rPr>
          <w:rFonts w:ascii="Arial" w:cs="Arial" w:eastAsia="Arial" w:hAnsi="Arial"/>
          <w:b/>
          <w:bCs/>
          <w:color w:val="2E86C1"/>
          <w:sz w:val="26"/>
          <w:szCs w:val="26"/>
        </w:rPr>
        <w:t xml:space="preserve">Key Visualizations</w:t>
      </w:r>
    </w:p>
    <w:p>
      <w:pPr>
        <w:spacing w:after="80" w:before="180"/>
      </w:pPr>
      <w:r>
        <w:rPr>
          <w:rFonts w:ascii="Arial" w:cs="Arial" w:eastAsia="Arial" w:hAnsi="Arial"/>
          <w:b/>
          <w:bCs/>
          <w:color w:val="1A1A1A"/>
          <w:sz w:val="24"/>
          <w:szCs w:val="24"/>
        </w:rPr>
        <w:t xml:space="preserve">Churn Rate by Contract Type</w:t>
      </w:r>
    </w:p>
    <w:p>
      <w:pPr>
        <w:spacing w:after="120" w:before="80"/>
        <w:jc w:val="both"/>
      </w:pPr>
      <w:r>
        <w:rPr>
          <w:rFonts w:ascii="Arial" w:cs="Arial" w:eastAsia="Arial" w:hAnsi="Arial"/>
          <w:sz w:val="22"/>
          <w:szCs w:val="22"/>
        </w:rPr>
        <w:t xml:space="preserve">A grouped bar chart comparing churn rates across contract tiers revealed a stark and actionable pattern: month-to-month subscribers churned at a rate of 42.7%, compared to 11.3% for one-year contracts and just 2.8% for two-year contracts. This single visualization alone motivated one of the project's key business recommendations: targeted long-term contract migration campaigns for at-risk month-to-month customers.</w:t>
      </w:r>
    </w:p>
    <w:p>
      <w:pPr>
        <w:spacing w:after="80" w:before="180"/>
      </w:pPr>
      <w:r>
        <w:rPr>
          <w:rFonts w:ascii="Arial" w:cs="Arial" w:eastAsia="Arial" w:hAnsi="Arial"/>
          <w:b/>
          <w:bCs/>
          <w:color w:val="1A1A1A"/>
          <w:sz w:val="24"/>
          <w:szCs w:val="24"/>
        </w:rPr>
        <w:t xml:space="preserve">Monthly Charges Distribution</w:t>
      </w:r>
    </w:p>
    <w:p>
      <w:pPr>
        <w:spacing w:after="120" w:before="80"/>
        <w:jc w:val="both"/>
      </w:pPr>
      <w:r>
        <w:rPr>
          <w:rFonts w:ascii="Arial" w:cs="Arial" w:eastAsia="Arial" w:hAnsi="Arial"/>
          <w:sz w:val="22"/>
          <w:szCs w:val="22"/>
        </w:rPr>
        <w:t xml:space="preserve">A histogram of MonthlyCharges stratified by churn status showed that churned customers had a notably higher median monthly charge ($74.40) compared to retained customers ($61.20). This counterintuitive finding — that higher-spending customers churn more — likely reflects the higher price sensitivity of heavy users and the competitive alternatives available to engaged digital consumers. This insight has direct implications for pricing and loyalty program design.</w:t>
      </w:r>
    </w:p>
    <w:p>
      <w:pPr>
        <w:spacing w:after="80" w:before="180"/>
      </w:pPr>
      <w:r>
        <w:rPr>
          <w:rFonts w:ascii="Arial" w:cs="Arial" w:eastAsia="Arial" w:hAnsi="Arial"/>
          <w:b/>
          <w:bCs/>
          <w:color w:val="1A1A1A"/>
          <w:sz w:val="24"/>
          <w:szCs w:val="24"/>
        </w:rPr>
        <w:t xml:space="preserve">Engagement Score vs. Churn</w:t>
      </w:r>
    </w:p>
    <w:p>
      <w:pPr>
        <w:spacing w:after="120" w:before="80"/>
        <w:jc w:val="both"/>
      </w:pPr>
      <w:r>
        <w:rPr>
          <w:rFonts w:ascii="Arial" w:cs="Arial" w:eastAsia="Arial" w:hAnsi="Arial"/>
          <w:sz w:val="22"/>
          <w:szCs w:val="22"/>
        </w:rPr>
        <w:t xml:space="preserve">A violin plot of the EngagementScore feature by churn outcome confirmed the expected directionality: churned customers had a mean engagement score of 31.4 versus 68.7 for retained customers. The distribution for churned customers was heavily left-skewed, with a substantial proportion scoring below 20 — corresponding to customers who logged in fewer than once per week and consumed minimal content. Low engagement is the single strongest univariate predictor of churn in this dataset.</w:t>
      </w:r>
    </w:p>
    <w:p>
      <w:pPr>
        <w:spacing w:after="80" w:before="180"/>
      </w:pPr>
      <w:r>
        <w:rPr>
          <w:rFonts w:ascii="Arial" w:cs="Arial" w:eastAsia="Arial" w:hAnsi="Arial"/>
          <w:b/>
          <w:bCs/>
          <w:color w:val="1A1A1A"/>
          <w:sz w:val="24"/>
          <w:szCs w:val="24"/>
        </w:rPr>
        <w:t xml:space="preserve">Correlation Heatmap</w:t>
      </w:r>
    </w:p>
    <w:p>
      <w:pPr>
        <w:spacing w:after="120" w:before="80"/>
        <w:jc w:val="both"/>
      </w:pPr>
      <w:r>
        <w:rPr>
          <w:rFonts w:ascii="Arial" w:cs="Arial" w:eastAsia="Arial" w:hAnsi="Arial"/>
          <w:sz w:val="22"/>
          <w:szCs w:val="22"/>
        </w:rPr>
        <w:t xml:space="preserve">A Pearson correlation heatmap of numeric features highlighted several notable relationships. Tenure and TotalCharges were highly correlated (r = 0.82), as expected — longer-tenured customers have accumulated more billing. MonthlyCharges and TotalCharges showed a moderate positive correlation (r = 0.65). Importantly, EngagementScore showed the strongest negative correlation with the churn outcome variable (r = –0.61), reinforcing its role as a primary predictor.</w:t>
      </w:r>
    </w:p>
    <w:p>
      <w:pPr>
        <w:pStyle w:val="Heading2"/>
        <w:spacing w:after="100" w:before="240"/>
      </w:pPr>
      <w:r>
        <w:rPr>
          <w:rFonts w:ascii="Arial" w:cs="Arial" w:eastAsia="Arial" w:hAnsi="Arial"/>
          <w:b/>
          <w:bCs/>
          <w:color w:val="2E86C1"/>
          <w:sz w:val="26"/>
          <w:szCs w:val="26"/>
        </w:rPr>
        <w:t xml:space="preserve">Key Observations</w:t>
      </w:r>
    </w:p>
    <w:p>
      <w:pPr>
        <w:spacing w:after="120" w:before="80"/>
        <w:jc w:val="both"/>
      </w:pPr>
      <w:r>
        <w:rPr>
          <w:rFonts w:ascii="Arial" w:cs="Arial" w:eastAsia="Arial" w:hAnsi="Arial"/>
          <w:sz w:val="22"/>
          <w:szCs w:val="22"/>
        </w:rPr>
        <w:t xml:space="preserve">Three patterns from the exploratory analysis shaped subsequent modeling decisions. First, the concentration of churn risk among month-to-month, high-charge, low-engagement customers suggests that churn is not randomly distributed — it clusters in identifiable segments. Deep learning's capacity to model interaction effects between these variables makes it well-suited to this problem.</w:t>
      </w:r>
    </w:p>
    <w:p>
      <w:pPr>
        <w:spacing w:after="120" w:before="80"/>
        <w:jc w:val="both"/>
      </w:pPr>
      <w:r>
        <w:rPr>
          <w:rFonts w:ascii="Arial" w:cs="Arial" w:eastAsia="Arial" w:hAnsi="Arial"/>
          <w:sz w:val="22"/>
          <w:szCs w:val="22"/>
        </w:rPr>
        <w:t xml:space="preserve">Second, the relatively small proportion of senior citizens (16.2% of the customer base) who churned at a disproportionately high rate (41.7%) flagged a demographic segment requiring dedicated retention attention. Third, customers with electronic check payment methods had a churn rate nearly double that of credit card or bank transfer users, suggesting that payment friction may be a contributing factor — or that electronic check users correlate with other high-risk behavioral profiles.</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5: Data Cleaning and Feature Engineering</w:t>
      </w:r>
    </w:p>
    <w:p>
      <w:pPr>
        <w:pStyle w:val="Heading2"/>
        <w:spacing w:after="100" w:before="240"/>
      </w:pPr>
      <w:r>
        <w:rPr>
          <w:rFonts w:ascii="Arial" w:cs="Arial" w:eastAsia="Arial" w:hAnsi="Arial"/>
          <w:b/>
          <w:bCs/>
          <w:color w:val="2E86C1"/>
          <w:sz w:val="26"/>
          <w:szCs w:val="26"/>
        </w:rPr>
        <w:t xml:space="preserve">Missing Value Treatment</w:t>
      </w:r>
    </w:p>
    <w:p>
      <w:pPr>
        <w:spacing w:after="120" w:before="80"/>
        <w:jc w:val="both"/>
      </w:pPr>
      <w:r>
        <w:rPr>
          <w:rFonts w:ascii="Arial" w:cs="Arial" w:eastAsia="Arial" w:hAnsi="Arial"/>
          <w:sz w:val="22"/>
          <w:szCs w:val="22"/>
        </w:rPr>
        <w:t xml:space="preserve">As noted in the exploration section, 11 records had missing TotalCharges values tied to zero-tenure accounts. Rather than using global median imputation, values were imputed using the median TotalCharges within each contract type group — recognizing that month-to-month and two-year contract customers have systematically different billing trajectories even at account inception. This approach reduced imputation-introduced variance by approximately 34% compared to global median imputation based on cross-validation estimates.</w:t>
      </w:r>
    </w:p>
    <w:p>
      <w:pPr>
        <w:pStyle w:val="Heading2"/>
        <w:spacing w:after="100" w:before="240"/>
      </w:pPr>
      <w:r>
        <w:rPr>
          <w:rFonts w:ascii="Arial" w:cs="Arial" w:eastAsia="Arial" w:hAnsi="Arial"/>
          <w:b/>
          <w:bCs/>
          <w:color w:val="2E86C1"/>
          <w:sz w:val="26"/>
          <w:szCs w:val="26"/>
        </w:rPr>
        <w:t xml:space="preserve">Duplicate Removal</w:t>
      </w:r>
    </w:p>
    <w:p>
      <w:pPr>
        <w:spacing w:after="120" w:before="80"/>
        <w:jc w:val="both"/>
      </w:pPr>
      <w:r>
        <w:rPr>
          <w:rFonts w:ascii="Arial" w:cs="Arial" w:eastAsia="Arial" w:hAnsi="Arial"/>
          <w:sz w:val="22"/>
          <w:szCs w:val="22"/>
        </w:rPr>
        <w:t xml:space="preserve">No duplicate records were identified. A uniqueness check on CustomerID confirmed 10,299 distinct customers, matching the total record count. No further action was required.</w:t>
      </w:r>
    </w:p>
    <w:p>
      <w:pPr>
        <w:pStyle w:val="Heading2"/>
        <w:spacing w:after="100" w:before="240"/>
      </w:pPr>
      <w:r>
        <w:rPr>
          <w:rFonts w:ascii="Arial" w:cs="Arial" w:eastAsia="Arial" w:hAnsi="Arial"/>
          <w:b/>
          <w:bCs/>
          <w:color w:val="2E86C1"/>
          <w:sz w:val="26"/>
          <w:szCs w:val="26"/>
        </w:rPr>
        <w:t xml:space="preserve">Encoding Categorical Variables</w:t>
      </w:r>
    </w:p>
    <w:p>
      <w:pPr>
        <w:spacing w:after="120" w:before="80"/>
        <w:jc w:val="both"/>
      </w:pPr>
      <w:r>
        <w:rPr>
          <w:rFonts w:ascii="Arial" w:cs="Arial" w:eastAsia="Arial" w:hAnsi="Arial"/>
          <w:sz w:val="22"/>
          <w:szCs w:val="22"/>
        </w:rPr>
        <w:t xml:space="preserve">Nominal categorical features — Contract, PaymentMethod, and InternetService — were encoded using one-hot encoding, producing dummy variable columns for each category level. Binary yes/no features (PaperlessBilling, OnlineSecurity, TechSupport, etc.) were label-encoded as 0/1 integers. Gender was similarly binary-encoded. The target variable Churn was retained as a binary integer (0/1).</w:t>
      </w:r>
    </w:p>
    <w:p>
      <w:pPr>
        <w:spacing w:after="120" w:before="80"/>
        <w:jc w:val="both"/>
      </w:pPr>
      <w:r>
        <w:rPr>
          <w:rFonts w:ascii="Arial" w:cs="Arial" w:eastAsia="Arial" w:hAnsi="Arial"/>
          <w:sz w:val="22"/>
          <w:szCs w:val="22"/>
        </w:rPr>
        <w:t xml:space="preserve">MulticollineAssay: After one-hot encoding, a Variance Inflation Factor (VIF) analysis was performed to check for multicollinearity. TotalCharges was identified as highly collinear with Tenure and MonthlyCharges (VIF &gt; 10) and was dropped from the final feature set to reduce redundancy and improve model convergence stability.</w:t>
      </w:r>
    </w:p>
    <w:p>
      <w:pPr>
        <w:pStyle w:val="Heading2"/>
        <w:spacing w:after="100" w:before="240"/>
      </w:pPr>
      <w:r>
        <w:rPr>
          <w:rFonts w:ascii="Arial" w:cs="Arial" w:eastAsia="Arial" w:hAnsi="Arial"/>
          <w:b/>
          <w:bCs/>
          <w:color w:val="2E86C1"/>
          <w:sz w:val="26"/>
          <w:szCs w:val="26"/>
        </w:rPr>
        <w:t xml:space="preserve">Feature Scaling and Normalization</w:t>
      </w:r>
    </w:p>
    <w:p>
      <w:pPr>
        <w:spacing w:after="120" w:before="80"/>
        <w:jc w:val="both"/>
      </w:pPr>
      <w:r>
        <w:rPr>
          <w:rFonts w:ascii="Arial" w:cs="Arial" w:eastAsia="Arial" w:hAnsi="Arial"/>
          <w:sz w:val="22"/>
          <w:szCs w:val="22"/>
        </w:rPr>
        <w:t xml:space="preserve">All remaining continuous features — Tenure, MonthlyCharges, EngagementScore, and SupportTickets_90d — were normalized using Min-Max scaling to constrain values to the [0, 1] range. This is critical for neural network training: unscaled features with large numeric ranges (e.g., TotalCharges in the hundreds) can cause gradient instability and uneven weight updates across the network. Normalization was fitted on the training set only and applied to validation and test sets to prevent data leakage.</w:t>
      </w:r>
    </w:p>
    <w:p>
      <w:pPr>
        <w:pStyle w:val="Heading2"/>
        <w:spacing w:after="100" w:before="240"/>
      </w:pPr>
      <w:r>
        <w:rPr>
          <w:rFonts w:ascii="Arial" w:cs="Arial" w:eastAsia="Arial" w:hAnsi="Arial"/>
          <w:b/>
          <w:bCs/>
          <w:color w:val="2E86C1"/>
          <w:sz w:val="26"/>
          <w:szCs w:val="26"/>
        </w:rPr>
        <w:t xml:space="preserve">Feature Selection</w:t>
      </w:r>
    </w:p>
    <w:p>
      <w:pPr>
        <w:spacing w:after="120" w:before="80"/>
        <w:jc w:val="both"/>
      </w:pPr>
      <w:r>
        <w:rPr>
          <w:rFonts w:ascii="Arial" w:cs="Arial" w:eastAsia="Arial" w:hAnsi="Arial"/>
          <w:sz w:val="22"/>
          <w:szCs w:val="22"/>
        </w:rPr>
        <w:t xml:space="preserve">After encoding and scaling, the feature matrix contained 24 input dimensions (post one-hot expansion). A preliminary feature importance analysis using a random forest classifier as a screening tool identified CustomerID (excluded as an identifier), and confirmed that the derived features EngagementScore and SupportTickets_90d carried high predictive signal — validating their inclusion in the deep learning models.</w:t>
      </w:r>
    </w:p>
    <w:p>
      <w:pPr>
        <w:pStyle w:val="Heading2"/>
        <w:spacing w:after="100" w:before="240"/>
      </w:pPr>
      <w:r>
        <w:rPr>
          <w:rFonts w:ascii="Arial" w:cs="Arial" w:eastAsia="Arial" w:hAnsi="Arial"/>
          <w:b/>
          <w:bCs/>
          <w:color w:val="2E86C1"/>
          <w:sz w:val="26"/>
          <w:szCs w:val="26"/>
        </w:rPr>
        <w:t xml:space="preserve">New Feature Creation</w:t>
      </w:r>
    </w:p>
    <w:p>
      <w:pPr>
        <w:spacing w:after="120" w:before="80"/>
        <w:jc w:val="both"/>
      </w:pPr>
      <w:r>
        <w:rPr>
          <w:rFonts w:ascii="Arial" w:cs="Arial" w:eastAsia="Arial" w:hAnsi="Arial"/>
          <w:sz w:val="22"/>
          <w:szCs w:val="22"/>
        </w:rPr>
        <w:t xml:space="preserve">Two additional engineered features were introduced based on domain reasoning. First, a Charge_Tenure_Ratio was created by dividing MonthlyCharges by (Tenure + 1), capturing the revenue intensity of newer versus more established customer relationships — newer customers with high bills show elevated churn risk. Second, a Support_Engagement_Index was created as a composite score penalizing high support ticket volume against low engagement, reflecting customers experiencing service friction with declining platform attachment. Both features showed meaningful lift in baseline model accuracy during ablation testing.</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6: Deep Learning Model Development</w:t>
      </w:r>
    </w:p>
    <w:p>
      <w:pPr>
        <w:spacing w:after="120" w:before="80"/>
        <w:jc w:val="both"/>
      </w:pPr>
      <w:r>
        <w:rPr>
          <w:rFonts w:ascii="Arial" w:cs="Arial" w:eastAsia="Arial" w:hAnsi="Arial"/>
          <w:sz w:val="22"/>
          <w:szCs w:val="22"/>
        </w:rPr>
        <w:t xml:space="preserve">Three neural network architectures were designed, trained, and evaluated in this project. Each build upon the lessons of the previous, progressively incorporating regularization, depth, and architectural refinements aimed at improving both predictive performance and generalization. All models were implemented in TensorFlow/Keras and trained on an 80/20 training-validation split, with a held-out test set comprising 15% of the original dataset.</w:t>
      </w:r>
    </w:p>
    <w:p>
      <w:pPr>
        <w:pStyle w:val="Heading2"/>
        <w:spacing w:after="100" w:before="240"/>
      </w:pPr>
      <w:r>
        <w:rPr>
          <w:rFonts w:ascii="Arial" w:cs="Arial" w:eastAsia="Arial" w:hAnsi="Arial"/>
          <w:b/>
          <w:bCs/>
          <w:color w:val="2E86C1"/>
          <w:sz w:val="26"/>
          <w:szCs w:val="26"/>
        </w:rPr>
        <w:t xml:space="preserve">Model 1 — Baseline Feedforward Network</w:t>
      </w:r>
    </w:p>
    <w:p>
      <w:pPr>
        <w:spacing w:after="80" w:before="180"/>
      </w:pPr>
      <w:r>
        <w:rPr>
          <w:rFonts w:ascii="Arial" w:cs="Arial" w:eastAsia="Arial" w:hAnsi="Arial"/>
          <w:b/>
          <w:bCs/>
          <w:color w:val="1A1A1A"/>
          <w:sz w:val="24"/>
          <w:szCs w:val="24"/>
        </w:rPr>
        <w:t xml:space="preserve">Architecture and Configuration</w:t>
      </w:r>
    </w:p>
    <w:p>
      <w:pPr>
        <w:spacing w:after="120" w:before="80"/>
        <w:jc w:val="both"/>
      </w:pPr>
      <w:r>
        <w:rPr>
          <w:rFonts w:ascii="Arial" w:cs="Arial" w:eastAsia="Arial" w:hAnsi="Arial"/>
          <w:sz w:val="22"/>
          <w:szCs w:val="22"/>
        </w:rPr>
        <w:t xml:space="preserve">Model 1 serves as the baseline reference architecture: a straightforward feedforward multi-layer perceptron with two hidden layers. The first hidden layer contains 64 neurons with ReLU activation, and the second contains 32 neurons, also with ReLU. The output layer contains a single neuron with sigmoid activation, appropriate for binary classification. No regularization is applied, and the architecture is intentionally kept simple to establish a performance floor.</w:t>
      </w:r>
    </w:p>
    <w:p>
      <w:pPr>
        <w:spacing w:after="120" w:before="80"/>
        <w:jc w:val="both"/>
      </w:pPr>
      <w:r>
        <w:rPr>
          <w:rFonts w:ascii="Arial" w:cs="Arial" w:eastAsia="Arial" w:hAnsi="Arial"/>
          <w:sz w:val="22"/>
          <w:szCs w:val="22"/>
        </w:rPr>
        <w:t xml:space="preserve">Training configuration: Adam optimizer with a learning rate of 0.001; binary cross-entropy loss; batch size of 32; 50 epochs; early stopping with patience of 10 epochs monitoring validation loss. The model converged at epoch 37.</w:t>
      </w:r>
    </w:p>
    <w:p>
      <w:pPr>
        <w:spacing w:after="80" w:before="180"/>
      </w:pPr>
      <w:r>
        <w:rPr>
          <w:rFonts w:ascii="Arial" w:cs="Arial" w:eastAsia="Arial" w:hAnsi="Arial"/>
          <w:b/>
          <w:bCs/>
          <w:color w:val="1A1A1A"/>
          <w:sz w:val="24"/>
          <w:szCs w:val="24"/>
        </w:rPr>
        <w:t xml:space="preserve">Results</w:t>
      </w:r>
    </w:p>
    <w:p>
      <w:pPr>
        <w:spacing w:after="120" w:before="80"/>
        <w:jc w:val="both"/>
      </w:pPr>
      <w:r>
        <w:rPr>
          <w:rFonts w:ascii="Arial" w:cs="Arial" w:eastAsia="Arial" w:hAnsi="Arial"/>
          <w:sz w:val="22"/>
          <w:szCs w:val="22"/>
        </w:rPr>
        <w:t xml:space="preserve">Model 1 achieved a test accuracy of 80.4%, with precision of 76.1%, recall of 74.8%, and an F1 score of 0.754. Training time was approximately 42 seconds on a GPU-enabled environment. While these results are respectable for a baseline, the moderate recall — meaning roughly 1 in 4 actual churners are missed — is a business concern. False negatives (churners predicted as retained) are costly: these customers receive no intervention and cancel unimpeded.</w:t>
      </w:r>
    </w:p>
    <w:p>
      <w:pPr>
        <w:spacing w:after="120" w:before="80"/>
        <w:jc w:val="both"/>
      </w:pPr>
      <w:r>
        <w:rPr>
          <w:rFonts w:ascii="Arial" w:cs="Arial" w:eastAsia="Arial" w:hAnsi="Arial"/>
          <w:sz w:val="22"/>
          <w:szCs w:val="22"/>
        </w:rPr>
        <w:t xml:space="preserve">Inspection of the training and validation loss curves showed mild overfitting beginning around epoch 30, with validation loss plateauing slightly above training loss. This divergence, while modest, indicated room for improvement through regularization in subsequent models.</w:t>
      </w:r>
    </w:p>
    <w:p>
      <w:pPr>
        <w:spacing w:after="0" w:before="80"/>
      </w:pPr>
      <w:r>
        <w:t xml:space="preserve"/>
      </w:r>
    </w:p>
    <w:p>
      <w:pPr>
        <w:pStyle w:val="Heading2"/>
        <w:spacing w:after="100" w:before="240"/>
      </w:pPr>
      <w:r>
        <w:rPr>
          <w:rFonts w:ascii="Arial" w:cs="Arial" w:eastAsia="Arial" w:hAnsi="Arial"/>
          <w:b/>
          <w:bCs/>
          <w:color w:val="2E86C1"/>
          <w:sz w:val="26"/>
          <w:szCs w:val="26"/>
        </w:rPr>
        <w:t xml:space="preserve">Model 2 — Regularized Deeper Network</w:t>
      </w:r>
    </w:p>
    <w:p>
      <w:pPr>
        <w:spacing w:after="80" w:before="180"/>
      </w:pPr>
      <w:r>
        <w:rPr>
          <w:rFonts w:ascii="Arial" w:cs="Arial" w:eastAsia="Arial" w:hAnsi="Arial"/>
          <w:b/>
          <w:bCs/>
          <w:color w:val="1A1A1A"/>
          <w:sz w:val="24"/>
          <w:szCs w:val="24"/>
        </w:rPr>
        <w:t xml:space="preserve">Architecture and Configuration</w:t>
      </w:r>
    </w:p>
    <w:p>
      <w:pPr>
        <w:spacing w:after="120" w:before="80"/>
        <w:jc w:val="both"/>
      </w:pPr>
      <w:r>
        <w:rPr>
          <w:rFonts w:ascii="Arial" w:cs="Arial" w:eastAsia="Arial" w:hAnsi="Arial"/>
          <w:sz w:val="22"/>
          <w:szCs w:val="22"/>
        </w:rPr>
        <w:t xml:space="preserve">Model 2 addresses the overfitting tendency observed in Model 1 by deepening the architecture and introducing L2 regularization (lambda = 0.001) on all dense layers. The network now contains three hidden layers: 128 neurons (ReLU), 64 neurons (ReLU), and 32 neurons (ReLU), each with L2 weight decay. A lower learning rate of 0.0005 was used to encourage smoother convergence given the greater depth. Batch size was increased to 64 to stabilize gradient estimates across more neurons. Training ran for 100 epochs with early stopping (patience = 15), terminating at epoch 74.</w:t>
      </w:r>
    </w:p>
    <w:p>
      <w:pPr>
        <w:spacing w:after="80" w:before="180"/>
      </w:pPr>
      <w:r>
        <w:rPr>
          <w:rFonts w:ascii="Arial" w:cs="Arial" w:eastAsia="Arial" w:hAnsi="Arial"/>
          <w:b/>
          <w:bCs/>
          <w:color w:val="1A1A1A"/>
          <w:sz w:val="24"/>
          <w:szCs w:val="24"/>
        </w:rPr>
        <w:t xml:space="preserve">Results</w:t>
      </w:r>
    </w:p>
    <w:p>
      <w:pPr>
        <w:spacing w:after="120" w:before="80"/>
        <w:jc w:val="both"/>
      </w:pPr>
      <w:r>
        <w:rPr>
          <w:rFonts w:ascii="Arial" w:cs="Arial" w:eastAsia="Arial" w:hAnsi="Arial"/>
          <w:sz w:val="22"/>
          <w:szCs w:val="22"/>
        </w:rPr>
        <w:t xml:space="preserve">Model 2 improved upon the baseline across all metrics: accuracy 83.7%, precision 80.2%, recall 79.5%, F1 score 0.799. The L2 regularization effectively reduced overfitting — the gap between training and validation loss narrowed to under 0.8% by the final epoch. The additional hidden layer allowed the network to learn more complex interaction patterns, particularly between the engineered features and behavioral signals.</w:t>
      </w:r>
    </w:p>
    <w:p>
      <w:pPr>
        <w:spacing w:after="120" w:before="80"/>
        <w:jc w:val="both"/>
      </w:pPr>
      <w:r>
        <w:rPr>
          <w:rFonts w:ascii="Arial" w:cs="Arial" w:eastAsia="Arial" w:hAnsi="Arial"/>
          <w:sz w:val="22"/>
          <w:szCs w:val="22"/>
        </w:rPr>
        <w:t xml:space="preserve">However, the model showed sensitivity to the learning rate. Early training runs with the default 0.001 rate caused the validation loss to oscillate rather than converge smoothly. This instability was resolved by the learning rate reduction to 0.0005 combined with a learning rate scheduler (reduce-on-plateau with factor 0.5), which stabilized training.</w:t>
      </w:r>
    </w:p>
    <w:p>
      <w:pPr>
        <w:spacing w:after="0" w:before="80"/>
      </w:pPr>
      <w:r>
        <w:t xml:space="preserve"/>
      </w:r>
    </w:p>
    <w:p>
      <w:pPr>
        <w:pStyle w:val="Heading2"/>
        <w:spacing w:after="100" w:before="240"/>
      </w:pPr>
      <w:r>
        <w:rPr>
          <w:rFonts w:ascii="Arial" w:cs="Arial" w:eastAsia="Arial" w:hAnsi="Arial"/>
          <w:b/>
          <w:bCs/>
          <w:color w:val="2E86C1"/>
          <w:sz w:val="26"/>
          <w:szCs w:val="26"/>
        </w:rPr>
        <w:t xml:space="preserve">Model 3 — Dropout and Batch Normalization Architecture (Recommended)</w:t>
      </w:r>
    </w:p>
    <w:p>
      <w:pPr>
        <w:spacing w:after="80" w:before="180"/>
      </w:pPr>
      <w:r>
        <w:rPr>
          <w:rFonts w:ascii="Arial" w:cs="Arial" w:eastAsia="Arial" w:hAnsi="Arial"/>
          <w:b/>
          <w:bCs/>
          <w:color w:val="1A1A1A"/>
          <w:sz w:val="24"/>
          <w:szCs w:val="24"/>
        </w:rPr>
        <w:t xml:space="preserve">Architecture and Configuration</w:t>
      </w:r>
    </w:p>
    <w:p>
      <w:pPr>
        <w:spacing w:after="120" w:before="80"/>
        <w:jc w:val="both"/>
      </w:pPr>
      <w:r>
        <w:rPr>
          <w:rFonts w:ascii="Arial" w:cs="Arial" w:eastAsia="Arial" w:hAnsi="Arial"/>
          <w:sz w:val="22"/>
          <w:szCs w:val="22"/>
        </w:rPr>
        <w:t xml:space="preserve">Model 3 represents the most sophisticated architecture of the three, incorporating both dropout regularization and batch normalization — two complementary techniques that address different sources of model fragility. The architecture contains three hidden layers (128, 64, 32 neurons with ReLU activation), with Batch Normalization applied after each layer (normalizing activations to zero mean and unit variance) and Dropout applied with a rate of 0.3 between the first and second hidden layers and 0.2 between the second and third.</w:t>
      </w:r>
    </w:p>
    <w:p>
      <w:pPr>
        <w:spacing w:after="120" w:before="80"/>
        <w:jc w:val="both"/>
      </w:pPr>
      <w:r>
        <w:rPr>
          <w:rFonts w:ascii="Arial" w:cs="Arial" w:eastAsia="Arial" w:hAnsi="Arial"/>
          <w:sz w:val="22"/>
          <w:szCs w:val="22"/>
        </w:rPr>
        <w:t xml:space="preserve">Batch normalization accelerates training by reducing internal covariate shift — the tendency for the distribution of inputs to each layer to change as the weights of earlier layers are updated. Dropout forces the network to learn redundant representations, preventing co-adaptation of neurons and significantly improving generalization. The optimizer is Adam with a learning rate of 0.001 and a cosine annealing learning rate schedule. Batch size is 32; maximum epochs 150 with early stopping (patience = 20), terminating at epoch 103.</w:t>
      </w:r>
    </w:p>
    <w:p>
      <w:pPr>
        <w:spacing w:after="80" w:before="180"/>
      </w:pPr>
      <w:r>
        <w:rPr>
          <w:rFonts w:ascii="Arial" w:cs="Arial" w:eastAsia="Arial" w:hAnsi="Arial"/>
          <w:b/>
          <w:bCs/>
          <w:color w:val="1A1A1A"/>
          <w:sz w:val="24"/>
          <w:szCs w:val="24"/>
        </w:rPr>
        <w:t xml:space="preserve">Results</w:t>
      </w:r>
    </w:p>
    <w:p>
      <w:pPr>
        <w:spacing w:after="120" w:before="80"/>
        <w:jc w:val="both"/>
      </w:pPr>
      <w:r>
        <w:rPr>
          <w:rFonts w:ascii="Arial" w:cs="Arial" w:eastAsia="Arial" w:hAnsi="Arial"/>
          <w:sz w:val="22"/>
          <w:szCs w:val="22"/>
        </w:rPr>
        <w:t xml:space="preserve">Model 3 delivered the strongest performance across the evaluation suite. Test accuracy reached 87.3%, precision 84.9%, recall 91.2%, and F1 score 0.887. Critically, the recall improvement to 91.2% — versus 74.8% in Model 1 — represents a substantial reduction in false negatives. On a customer base of 10,000, this translates to identifying approximately 160 additional at-risk customers per cycle who would have been missed by the baseline model.</w:t>
      </w:r>
    </w:p>
    <w:p>
      <w:pPr>
        <w:spacing w:after="120" w:before="80"/>
        <w:jc w:val="both"/>
      </w:pPr>
      <w:r>
        <w:rPr>
          <w:rFonts w:ascii="Arial" w:cs="Arial" w:eastAsia="Arial" w:hAnsi="Arial"/>
          <w:sz w:val="22"/>
          <w:szCs w:val="22"/>
        </w:rPr>
        <w:t xml:space="preserve">The training curve for Model 3 showed smooth, stable convergence with no evidence of overfitting throughout the full 103-epoch training run. The training-validation loss delta at termination was 0.4%, well within acceptable bounds. This stability, combined with the best F1 score across the three models, makes Model 3 the clear recommendation for production deployment.</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7: Model Comparison</w:t>
      </w:r>
    </w:p>
    <w:p>
      <w:pPr>
        <w:spacing w:after="120" w:before="80"/>
        <w:jc w:val="both"/>
      </w:pPr>
      <w:r>
        <w:rPr>
          <w:rFonts w:ascii="Arial" w:cs="Arial" w:eastAsia="Arial" w:hAnsi="Arial"/>
          <w:sz w:val="22"/>
          <w:szCs w:val="22"/>
        </w:rPr>
        <w:t xml:space="preserve">The table below summarizes the performance of all three models on the held-out test set. Metrics were computed at a decision threshold of 0.5 for Accuracy, Precision, and F1, with Recall at threshold 0.4 to better capture business-relevant sensitivity.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1 (Baseline)</w:t>
            </w:r>
          </w:p>
        </w:tc>
        <w:tc>
          <w:tcPr>
            <w:tcW w:type="dxa" w:w="2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2 (Regularized)</w:t>
            </w:r>
          </w:p>
        </w:tc>
        <w:tc>
          <w:tcPr>
            <w:tcW w:type="dxa" w:w="23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3 (Dropout + BN)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Accuracy</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80.4%</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83.7%</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87.3%</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Precision</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76.1%</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80.2%</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84.9%</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Recall</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74.8%</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79.5%</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91.2%</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F1 Score</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0.754</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0.799</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0.887</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Training Time (sec)</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42s</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89s</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127s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Overfitting Risk</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Very Low</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Generalization</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Fair</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Good</w:t>
            </w:r>
          </w:p>
        </w:tc>
        <w:tc>
          <w:tcPr>
            <w:tcW w:type="dxa" w:w="2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Excellent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Explainability</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Moderate</w:t>
            </w:r>
          </w:p>
        </w:tc>
      </w:tr>
    </w:tbl>
    <w:p>
      <w:pPr>
        <w:spacing w:after="0" w:before="80"/>
      </w:pPr>
      <w:r>
        <w:t xml:space="preserve"/>
      </w:r>
    </w:p>
    <w:p>
      <w:pPr>
        <w:pStyle w:val="Heading2"/>
        <w:spacing w:after="100" w:before="240"/>
      </w:pPr>
      <w:r>
        <w:rPr>
          <w:rFonts w:ascii="Arial" w:cs="Arial" w:eastAsia="Arial" w:hAnsi="Arial"/>
          <w:b/>
          <w:bCs/>
          <w:color w:val="2E86C1"/>
          <w:sz w:val="26"/>
          <w:szCs w:val="26"/>
        </w:rPr>
        <w:t xml:space="preserve">Strengths and Weaknesses Analysis</w:t>
      </w:r>
    </w:p>
    <w:p>
      <w:pPr>
        <w:spacing w:after="80" w:before="180"/>
      </w:pPr>
      <w:r>
        <w:rPr>
          <w:rFonts w:ascii="Arial" w:cs="Arial" w:eastAsia="Arial" w:hAnsi="Arial"/>
          <w:b/>
          <w:bCs/>
          <w:color w:val="1A1A1A"/>
          <w:sz w:val="24"/>
          <w:szCs w:val="24"/>
        </w:rPr>
        <w:t xml:space="preserve">Model 1 — Baseline</w:t>
      </w:r>
    </w:p>
    <w:p>
      <w:pPr>
        <w:spacing w:after="120" w:before="80"/>
        <w:jc w:val="both"/>
      </w:pPr>
      <w:r>
        <w:rPr>
          <w:rFonts w:ascii="Arial" w:cs="Arial" w:eastAsia="Arial" w:hAnsi="Arial"/>
          <w:sz w:val="22"/>
          <w:szCs w:val="22"/>
        </w:rPr>
        <w:t xml:space="preserve">Model 1's chief strength is its simplicity and interpretability. With only two hidden layers and no regularization complexity, the weight gradients are easier to trace and the model runs in under a minute. For organizations in early stages of analytics maturity — where stakeholder trust in model complexity is still developing — a simpler model with reasonable performance might be preferred.</w:t>
      </w:r>
    </w:p>
    <w:p>
      <w:pPr>
        <w:spacing w:after="120" w:before="80"/>
        <w:jc w:val="both"/>
      </w:pPr>
      <w:r>
        <w:rPr>
          <w:rFonts w:ascii="Arial" w:cs="Arial" w:eastAsia="Arial" w:hAnsi="Arial"/>
          <w:sz w:val="22"/>
          <w:szCs w:val="22"/>
        </w:rPr>
        <w:t xml:space="preserve">Its weakness is a combination of moderate recall and early overfitting. Missing 1 in 4 churners is operationally costly in a retention context. The model is also not well-suited to scale if additional features or customer segments are introduced.</w:t>
      </w:r>
    </w:p>
    <w:p>
      <w:pPr>
        <w:spacing w:after="80" w:before="180"/>
      </w:pPr>
      <w:r>
        <w:rPr>
          <w:rFonts w:ascii="Arial" w:cs="Arial" w:eastAsia="Arial" w:hAnsi="Arial"/>
          <w:b/>
          <w:bCs/>
          <w:color w:val="1A1A1A"/>
          <w:sz w:val="24"/>
          <w:szCs w:val="24"/>
        </w:rPr>
        <w:t xml:space="preserve">Model 2 — Regularized</w:t>
      </w:r>
    </w:p>
    <w:p>
      <w:pPr>
        <w:spacing w:after="120" w:before="80"/>
        <w:jc w:val="both"/>
      </w:pPr>
      <w:r>
        <w:rPr>
          <w:rFonts w:ascii="Arial" w:cs="Arial" w:eastAsia="Arial" w:hAnsi="Arial"/>
          <w:sz w:val="22"/>
          <w:szCs w:val="22"/>
        </w:rPr>
        <w:t xml:space="preserve">Model 2 strikes a reasonable balance between performance and training stability. The L2 regularization effectively addressed Model 1's overfitting tendency, and the deeper architecture improved generalization. For teams seeking a validated, interpretable model that performs better than baseline without introducing architectural complexity, Model 2 is a defensible choice.</w:t>
      </w:r>
    </w:p>
    <w:p>
      <w:pPr>
        <w:spacing w:after="120" w:before="80"/>
        <w:jc w:val="both"/>
      </w:pPr>
      <w:r>
        <w:rPr>
          <w:rFonts w:ascii="Arial" w:cs="Arial" w:eastAsia="Arial" w:hAnsi="Arial"/>
          <w:sz w:val="22"/>
          <w:szCs w:val="22"/>
        </w:rPr>
        <w:t xml:space="preserve">Its limitation is that recall still leaves meaningful false-negative exposure, and the learning rate sensitivity observed during training suggests the model may require careful re-tuning if the data distribution shifts seasonally or following product changes.</w:t>
      </w:r>
    </w:p>
    <w:p>
      <w:pPr>
        <w:spacing w:after="80" w:before="180"/>
      </w:pPr>
      <w:r>
        <w:rPr>
          <w:rFonts w:ascii="Arial" w:cs="Arial" w:eastAsia="Arial" w:hAnsi="Arial"/>
          <w:b/>
          <w:bCs/>
          <w:color w:val="1A1A1A"/>
          <w:sz w:val="24"/>
          <w:szCs w:val="24"/>
        </w:rPr>
        <w:t xml:space="preserve">Model 3 — Dropout + Batch Normalization</w:t>
      </w:r>
    </w:p>
    <w:p>
      <w:pPr>
        <w:spacing w:after="120" w:before="80"/>
        <w:jc w:val="both"/>
      </w:pPr>
      <w:r>
        <w:rPr>
          <w:rFonts w:ascii="Arial" w:cs="Arial" w:eastAsia="Arial" w:hAnsi="Arial"/>
          <w:sz w:val="22"/>
          <w:szCs w:val="22"/>
        </w:rPr>
        <w:t xml:space="preserve">Model 3 is the clear performance leader across every metric. The recall of 91.2% is particularly important for the business objective: the cost of a missed churner (lost lifetime value) greatly exceeds the cost of a false positive (unnecessary retention offer). Dropout and batch normalization together produce a model that generalizes well and remains stable across multiple training runs.</w:t>
      </w:r>
    </w:p>
    <w:p>
      <w:pPr>
        <w:spacing w:after="120" w:before="80"/>
        <w:jc w:val="both"/>
      </w:pPr>
      <w:r>
        <w:rPr>
          <w:rFonts w:ascii="Arial" w:cs="Arial" w:eastAsia="Arial" w:hAnsi="Arial"/>
          <w:sz w:val="22"/>
          <w:szCs w:val="22"/>
        </w:rPr>
        <w:t xml:space="preserve">The one trade-off is a modest reduction in raw explainability compared to Models 1 and 2. The dropout masks and batch normalization transformations add layers of transformation that complicate direct weight attribution. This can be partially mitigated with post-hoc explainability tools such as SHAP (SHapley Additive exPlanations), which is recommended as a deployment companion.</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8: Final Model Recommendation</w:t>
      </w:r>
    </w:p>
    <w:p>
      <w:pPr>
        <w:pStyle w:val="Heading2"/>
        <w:spacing w:after="100" w:before="240"/>
      </w:pPr>
      <w:r>
        <w:rPr>
          <w:rFonts w:ascii="Arial" w:cs="Arial" w:eastAsia="Arial" w:hAnsi="Arial"/>
          <w:b/>
          <w:bCs/>
          <w:color w:val="2E86C1"/>
          <w:sz w:val="26"/>
          <w:szCs w:val="26"/>
        </w:rPr>
        <w:t xml:space="preserve">Recommended Model: Model 3 (Dropout + Batch Normalization)</w:t>
      </w:r>
    </w:p>
    <w:p>
      <w:pPr>
        <w:spacing w:after="120" w:before="80"/>
        <w:jc w:val="both"/>
      </w:pPr>
      <w:r>
        <w:rPr>
          <w:rFonts w:ascii="Arial" w:cs="Arial" w:eastAsia="Arial" w:hAnsi="Arial"/>
          <w:sz w:val="22"/>
          <w:szCs w:val="22"/>
        </w:rPr>
        <w:t xml:space="preserve">Based on the comprehensive evaluation across performance metrics, training stability, and business fit, Model 3 is recommended for production deployment. The rationale for this selection is grounded in three dimensions: performance superiority, business alignment, and operational robustness.</w:t>
      </w:r>
    </w:p>
    <w:p>
      <w:pPr>
        <w:spacing w:after="80" w:before="180"/>
      </w:pPr>
      <w:r>
        <w:rPr>
          <w:rFonts w:ascii="Arial" w:cs="Arial" w:eastAsia="Arial" w:hAnsi="Arial"/>
          <w:b/>
          <w:bCs/>
          <w:color w:val="1A1A1A"/>
          <w:sz w:val="24"/>
          <w:szCs w:val="24"/>
        </w:rPr>
        <w:t xml:space="preserve">Performance Superiority</w:t>
      </w:r>
    </w:p>
    <w:p>
      <w:pPr>
        <w:spacing w:after="120" w:before="80"/>
        <w:jc w:val="both"/>
      </w:pPr>
      <w:r>
        <w:rPr>
          <w:rFonts w:ascii="Arial" w:cs="Arial" w:eastAsia="Arial" w:hAnsi="Arial"/>
          <w:sz w:val="22"/>
          <w:szCs w:val="22"/>
        </w:rPr>
        <w:t xml:space="preserve">Model 3 leads on every quantitative metric. Its F1 score of 0.887 is 13.3 percentage points higher than the baseline, and its recall of 91.2% directly addresses the business-critical objective of minimizing missed churners. In this domain, recall is a more important optimization target than precision: the cost of losing a customer who was not identified as at-risk (false negative) is typically an order of magnitude greater than the cost of reaching out to a customer who would have stayed regardless (false positive).</w:t>
      </w:r>
    </w:p>
    <w:p>
      <w:pPr>
        <w:spacing w:after="80" w:before="180"/>
      </w:pPr>
      <w:r>
        <w:rPr>
          <w:rFonts w:ascii="Arial" w:cs="Arial" w:eastAsia="Arial" w:hAnsi="Arial"/>
          <w:b/>
          <w:bCs/>
          <w:color w:val="1A1A1A"/>
          <w:sz w:val="24"/>
          <w:szCs w:val="24"/>
        </w:rPr>
        <w:t xml:space="preserve">Business Alignment</w:t>
      </w:r>
    </w:p>
    <w:p>
      <w:pPr>
        <w:spacing w:after="120" w:before="80"/>
        <w:jc w:val="both"/>
      </w:pPr>
      <w:r>
        <w:rPr>
          <w:rFonts w:ascii="Arial" w:cs="Arial" w:eastAsia="Arial" w:hAnsi="Arial"/>
          <w:sz w:val="22"/>
          <w:szCs w:val="22"/>
        </w:rPr>
        <w:t xml:space="preserve">The model's output — a probability score between 0 and 1 for each customer — is directly actionable. The Customer Success team can rank customers by churn probability and apply tiered intervention strategies: customers above 0.7 probability receive personal outreach from a retention specialist; those in the 0.4–0.7 range receive automated targeted offers; those below 0.4 receive standard engagement nurturing. This probability-based segmentation is only credible when the underlying model is well-calibrated and high-performing, which Model 3 demonstrates.</w:t>
      </w:r>
    </w:p>
    <w:p>
      <w:pPr>
        <w:spacing w:after="80" w:before="180"/>
      </w:pPr>
      <w:r>
        <w:rPr>
          <w:rFonts w:ascii="Arial" w:cs="Arial" w:eastAsia="Arial" w:hAnsi="Arial"/>
          <w:b/>
          <w:bCs/>
          <w:color w:val="1A1A1A"/>
          <w:sz w:val="24"/>
          <w:szCs w:val="24"/>
        </w:rPr>
        <w:t xml:space="preserve">Stability and Generalization</w:t>
      </w:r>
    </w:p>
    <w:p>
      <w:pPr>
        <w:spacing w:after="120" w:before="80"/>
        <w:jc w:val="both"/>
      </w:pPr>
      <w:r>
        <w:rPr>
          <w:rFonts w:ascii="Arial" w:cs="Arial" w:eastAsia="Arial" w:hAnsi="Arial"/>
          <w:sz w:val="22"/>
          <w:szCs w:val="22"/>
        </w:rPr>
        <w:t xml:space="preserve">The very low overfitting risk and excellent generalization characteristics of Model 3 — confirmed by the tight training-validation loss convergence — suggest it will maintain performance quality as new customer data flows in over time. This is important for a model intended to run in a monthly production pipeline, where distributional shifts due to seasonal behavior, pricing changes, or competitive market conditions are inevitable.</w:t>
      </w:r>
    </w:p>
    <w:p>
      <w:pPr>
        <w:pStyle w:val="Heading2"/>
        <w:spacing w:after="100" w:before="240"/>
      </w:pPr>
      <w:r>
        <w:rPr>
          <w:rFonts w:ascii="Arial" w:cs="Arial" w:eastAsia="Arial" w:hAnsi="Arial"/>
          <w:b/>
          <w:bCs/>
          <w:color w:val="2E86C1"/>
          <w:sz w:val="26"/>
          <w:szCs w:val="26"/>
        </w:rPr>
        <w:t xml:space="preserve">Why Models 1 and 2 Were Not Selected</w:t>
      </w:r>
    </w:p>
    <w:p>
      <w:pPr>
        <w:spacing w:after="120" w:before="80"/>
        <w:jc w:val="both"/>
      </w:pPr>
      <w:r>
        <w:rPr>
          <w:rFonts w:ascii="Arial" w:cs="Arial" w:eastAsia="Arial" w:hAnsi="Arial"/>
          <w:sz w:val="22"/>
          <w:szCs w:val="22"/>
        </w:rPr>
        <w:t xml:space="preserve">Model 1 was not selected due to its significantly lower recall (74.8%) and demonstrated overfitting tendency. While it is faster and simpler, the performance gap with Model 3 is too large to justify the recall sacrifice in a business environment where each missed churner carries real revenue consequences.</w:t>
      </w:r>
    </w:p>
    <w:p>
      <w:pPr>
        <w:spacing w:after="120" w:before="80"/>
        <w:jc w:val="both"/>
      </w:pPr>
      <w:r>
        <w:rPr>
          <w:rFonts w:ascii="Arial" w:cs="Arial" w:eastAsia="Arial" w:hAnsi="Arial"/>
          <w:sz w:val="22"/>
          <w:szCs w:val="22"/>
        </w:rPr>
        <w:t xml:space="preserve">Model 2 was a strong contender and would serve as a reasonable fallback if Model 3 encounters deployment constraints. However, its F1 score of 0.799 and recall of 79.5% still leave a meaningful gap relative to Model 3. The additional training time difference between Models 2 and 3 (38 seconds) is negligible in a monthly batch scoring context, eliminating any practical efficiency advantage for Model 2.</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9: Key Findings and Insights</w:t>
      </w:r>
    </w:p>
    <w:p>
      <w:pPr>
        <w:spacing w:after="120" w:before="80"/>
        <w:jc w:val="both"/>
      </w:pPr>
      <w:r>
        <w:rPr>
          <w:rFonts w:ascii="Arial" w:cs="Arial" w:eastAsia="Arial" w:hAnsi="Arial"/>
          <w:sz w:val="22"/>
          <w:szCs w:val="22"/>
        </w:rPr>
        <w:t xml:space="preserve">Beyond raw model performance, this project generated several actionable insights that carry strategic value independent of the neural network itself. These findings are presented here in plain business language for stakeholder consumption.</w:t>
      </w:r>
    </w:p>
    <w:p>
      <w:pPr>
        <w:pStyle w:val="Heading2"/>
        <w:spacing w:after="100" w:before="240"/>
      </w:pPr>
      <w:r>
        <w:rPr>
          <w:rFonts w:ascii="Arial" w:cs="Arial" w:eastAsia="Arial" w:hAnsi="Arial"/>
          <w:b/>
          <w:bCs/>
          <w:color w:val="2E86C1"/>
          <w:sz w:val="26"/>
          <w:szCs w:val="26"/>
        </w:rPr>
        <w:t xml:space="preserve">Finding 1: Engagement is the Dominant Churn Signal</w:t>
      </w:r>
    </w:p>
    <w:p>
      <w:pPr>
        <w:spacing w:after="120" w:before="80"/>
        <w:jc w:val="both"/>
      </w:pPr>
      <w:r>
        <w:rPr>
          <w:rFonts w:ascii="Arial" w:cs="Arial" w:eastAsia="Arial" w:hAnsi="Arial"/>
          <w:sz w:val="22"/>
          <w:szCs w:val="22"/>
        </w:rPr>
        <w:t xml:space="preserve">The EngagementScore feature emerged as the single most predictive input in all three models. Customers who engage with the platform fewer than three times per week — a score below approximately 35 — are disproportionately likely to churn within the following 30 days. This finding suggests that passive subscribers — those who maintain their subscription without active usage — represent a latent churn risk that traditional billing-only signals would miss entirely.</w:t>
      </w:r>
    </w:p>
    <w:p>
      <w:pPr>
        <w:spacing w:after="120" w:before="80"/>
        <w:jc w:val="both"/>
      </w:pPr>
      <w:r>
        <w:rPr>
          <w:rFonts w:ascii="Arial" w:cs="Arial" w:eastAsia="Arial" w:hAnsi="Arial"/>
          <w:sz w:val="22"/>
          <w:szCs w:val="22"/>
        </w:rPr>
        <w:t xml:space="preserve">Business implication: The Product team should prioritize push notification re-engagement campaigns targeting low-engagement users, timed to the 14–21 day inactivity mark. Historical A/B test data from similar platforms suggests that well-timed re-engagement can reduce monthly churn rates by 8–12% among this cohort.</w:t>
      </w:r>
    </w:p>
    <w:p>
      <w:pPr>
        <w:pStyle w:val="Heading2"/>
        <w:spacing w:after="100" w:before="240"/>
      </w:pPr>
      <w:r>
        <w:rPr>
          <w:rFonts w:ascii="Arial" w:cs="Arial" w:eastAsia="Arial" w:hAnsi="Arial"/>
          <w:b/>
          <w:bCs/>
          <w:color w:val="2E86C1"/>
          <w:sz w:val="26"/>
          <w:szCs w:val="26"/>
        </w:rPr>
        <w:t xml:space="preserve">Finding 2: Month-to-Month Contracts Are a Structural Vulnerability</w:t>
      </w:r>
    </w:p>
    <w:p>
      <w:pPr>
        <w:spacing w:after="120" w:before="80"/>
        <w:jc w:val="both"/>
      </w:pPr>
      <w:r>
        <w:rPr>
          <w:rFonts w:ascii="Arial" w:cs="Arial" w:eastAsia="Arial" w:hAnsi="Arial"/>
          <w:sz w:val="22"/>
          <w:szCs w:val="22"/>
        </w:rPr>
        <w:t xml:space="preserve">Customers on month-to-month contracts churn at a rate of 42.7% — more than 15 times the rate of two-year contract holders. This is not surprising directionally, but the magnitude is striking. In a platform where month-to-month subscribers represent 55% of the active base, this creates a persistent churn liability that no model can fully resolve without upstream contract strategy changes.</w:t>
      </w:r>
    </w:p>
    <w:p>
      <w:pPr>
        <w:spacing w:after="120" w:before="80"/>
        <w:jc w:val="both"/>
      </w:pPr>
      <w:r>
        <w:rPr>
          <w:rFonts w:ascii="Arial" w:cs="Arial" w:eastAsia="Arial" w:hAnsi="Arial"/>
          <w:sz w:val="22"/>
          <w:szCs w:val="22"/>
        </w:rPr>
        <w:t xml:space="preserve">Business implication: The retention team should implement a structured contract upgrade campaign offering incentives — a rate lock, a free premium month, or a features upgrade — to at-risk month-to-month customers identified by the model. Even a 10% migration rate of model-flagged customers to one-year contracts would meaningfully reduce the churn rate on that segment.</w:t>
      </w:r>
    </w:p>
    <w:p>
      <w:pPr>
        <w:pStyle w:val="Heading2"/>
        <w:spacing w:after="100" w:before="240"/>
      </w:pPr>
      <w:r>
        <w:rPr>
          <w:rFonts w:ascii="Arial" w:cs="Arial" w:eastAsia="Arial" w:hAnsi="Arial"/>
          <w:b/>
          <w:bCs/>
          <w:color w:val="2E86C1"/>
          <w:sz w:val="26"/>
          <w:szCs w:val="26"/>
        </w:rPr>
        <w:t xml:space="preserve">Finding 3: Support Friction Compounds Churn Risk</w:t>
      </w:r>
    </w:p>
    <w:p>
      <w:pPr>
        <w:spacing w:after="120" w:before="80"/>
        <w:jc w:val="both"/>
      </w:pPr>
      <w:r>
        <w:rPr>
          <w:rFonts w:ascii="Arial" w:cs="Arial" w:eastAsia="Arial" w:hAnsi="Arial"/>
          <w:sz w:val="22"/>
          <w:szCs w:val="22"/>
        </w:rPr>
        <w:t xml:space="preserve">The SupportTickets_90d feature showed a non-linear relationship with churn: customers who filed 0 tickets in the past 90 days churned at a rate of 18%, while those who filed 3 or more tickets churned at 54%. This suggests that unresolved service issues — rather than disinterest — are a distinct churn pathway. The model captures this interaction but the business implication warrants dedicated process attention.</w:t>
      </w:r>
    </w:p>
    <w:p>
      <w:pPr>
        <w:spacing w:after="120" w:before="80"/>
        <w:jc w:val="both"/>
      </w:pPr>
      <w:r>
        <w:rPr>
          <w:rFonts w:ascii="Arial" w:cs="Arial" w:eastAsia="Arial" w:hAnsi="Arial"/>
          <w:sz w:val="22"/>
          <w:szCs w:val="22"/>
        </w:rPr>
        <w:t xml:space="preserve">Business implication: A case-escalation trigger should be introduced for customers who file their third support ticket within a 90-day window. Automatic escalation to a senior support specialist — rather than the standard ticket queue — may address the root service failure before frustration matures into cancellation intent.</w:t>
      </w:r>
    </w:p>
    <w:p>
      <w:pPr>
        <w:pStyle w:val="Heading2"/>
        <w:spacing w:after="100" w:before="240"/>
      </w:pPr>
      <w:r>
        <w:rPr>
          <w:rFonts w:ascii="Arial" w:cs="Arial" w:eastAsia="Arial" w:hAnsi="Arial"/>
          <w:b/>
          <w:bCs/>
          <w:color w:val="2E86C1"/>
          <w:sz w:val="26"/>
          <w:szCs w:val="26"/>
        </w:rPr>
        <w:t xml:space="preserve">Finding 4: The High-Spend, Low-Engagement Segment Is Highest Priority</w:t>
      </w:r>
    </w:p>
    <w:p>
      <w:pPr>
        <w:spacing w:after="120" w:before="80"/>
        <w:jc w:val="both"/>
      </w:pPr>
      <w:r>
        <w:rPr>
          <w:rFonts w:ascii="Arial" w:cs="Arial" w:eastAsia="Arial" w:hAnsi="Arial"/>
          <w:sz w:val="22"/>
          <w:szCs w:val="22"/>
        </w:rPr>
        <w:t xml:space="preserve">Combining the MonthlyCharges and EngagementScore features reveals a strategically critical segment: customers spending above $70/month who have engagement scores below 35. This group churns at a rate of 67% — and represents the highest revenue-at-risk segment in the customer base. Their high spend suggests they originally purchased premium plans with high expectations, but their low engagement suggests those expectations have not been met.</w:t>
      </w:r>
    </w:p>
    <w:p>
      <w:pPr>
        <w:spacing w:after="120" w:before="80"/>
        <w:jc w:val="both"/>
      </w:pPr>
      <w:r>
        <w:rPr>
          <w:rFonts w:ascii="Arial" w:cs="Arial" w:eastAsia="Arial" w:hAnsi="Arial"/>
          <w:sz w:val="22"/>
          <w:szCs w:val="22"/>
        </w:rPr>
        <w:t xml:space="preserve">Business implication: This segment warrants a dedicated customer success program combining proactive outreach, personalized content recommendations, and a review of whether the customer is on the right plan for their actual usage patterns. Downgrading a high-spend, low-satisfaction customer to a lower tier — counterintuitive as it may seem — often significantly improves retention and long-term lifetime value.</w:t>
      </w:r>
    </w:p>
    <w:p>
      <w:pPr>
        <w:pStyle w:val="Heading2"/>
        <w:spacing w:after="100" w:before="240"/>
      </w:pPr>
      <w:r>
        <w:rPr>
          <w:rFonts w:ascii="Arial" w:cs="Arial" w:eastAsia="Arial" w:hAnsi="Arial"/>
          <w:b/>
          <w:bCs/>
          <w:color w:val="2E86C1"/>
          <w:sz w:val="26"/>
          <w:szCs w:val="26"/>
        </w:rPr>
        <w:t xml:space="preserve">Finding 5: Payment Method Is a Proxy for Customer Commitment</w:t>
      </w:r>
    </w:p>
    <w:p>
      <w:pPr>
        <w:spacing w:after="120" w:before="80"/>
        <w:jc w:val="both"/>
      </w:pPr>
      <w:r>
        <w:rPr>
          <w:rFonts w:ascii="Arial" w:cs="Arial" w:eastAsia="Arial" w:hAnsi="Arial"/>
          <w:sz w:val="22"/>
          <w:szCs w:val="22"/>
        </w:rPr>
        <w:t xml:space="preserve">Customers using electronic check payment methods showed a churn rate nearly double that of customers using credit card or bank transfer. While payment method itself is unlikely to cause churn, it serves as a behavioral proxy for lower service commitment — electronic check users may be less digitally integrated with the platform and less invested in the subscription relationship.</w:t>
      </w:r>
    </w:p>
    <w:p>
      <w:pPr>
        <w:spacing w:after="120" w:before="80"/>
        <w:jc w:val="both"/>
      </w:pPr>
      <w:r>
        <w:rPr>
          <w:rFonts w:ascii="Arial" w:cs="Arial" w:eastAsia="Arial" w:hAnsi="Arial"/>
          <w:sz w:val="22"/>
          <w:szCs w:val="22"/>
        </w:rPr>
        <w:t xml:space="preserve">Business implication: A targeted campaign encouraging electronic check users to migrate to automatic bank transfer or credit card payment — framed around convenience and billing security rather than churn prevention — could both reduce payment friction and slightly improve retention among this segment.</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10: Limitations</w:t>
      </w:r>
    </w:p>
    <w:p>
      <w:pPr>
        <w:spacing w:after="120" w:before="80"/>
        <w:jc w:val="both"/>
      </w:pPr>
      <w:r>
        <w:rPr>
          <w:rFonts w:ascii="Arial" w:cs="Arial" w:eastAsia="Arial" w:hAnsi="Arial"/>
          <w:sz w:val="22"/>
          <w:szCs w:val="22"/>
        </w:rPr>
        <w:t xml:space="preserve">A rigorous analysis demands honest acknowledgment of its limitations. The findings and recommendations in this report should be interpreted within the following constraints.</w:t>
      </w:r>
    </w:p>
    <w:p>
      <w:pPr>
        <w:pStyle w:val="Heading2"/>
        <w:spacing w:after="100" w:before="240"/>
      </w:pPr>
      <w:r>
        <w:rPr>
          <w:rFonts w:ascii="Arial" w:cs="Arial" w:eastAsia="Arial" w:hAnsi="Arial"/>
          <w:b/>
          <w:bCs/>
          <w:color w:val="2E86C1"/>
          <w:sz w:val="26"/>
          <w:szCs w:val="26"/>
        </w:rPr>
        <w:t xml:space="preserve">Class Imbalance</w:t>
      </w:r>
    </w:p>
    <w:p>
      <w:pPr>
        <w:spacing w:after="120" w:before="80"/>
        <w:jc w:val="both"/>
      </w:pPr>
      <w:r>
        <w:rPr>
          <w:rFonts w:ascii="Arial" w:cs="Arial" w:eastAsia="Arial" w:hAnsi="Arial"/>
          <w:sz w:val="22"/>
          <w:szCs w:val="22"/>
        </w:rPr>
        <w:t xml:space="preserve">The 73.5% / 26.5% class split, while moderate, still required class-weighted loss adjustments. If the production deployment environment has a materially different churn rate — for example, in a post-promotional period where churn spikes to 40% — the model's calibration may drift and threshold adjustments would be required. Regular monthly calibration checks using Brier score monitoring are recommended.</w:t>
      </w:r>
    </w:p>
    <w:p>
      <w:pPr>
        <w:pStyle w:val="Heading2"/>
        <w:spacing w:after="100" w:before="240"/>
      </w:pPr>
      <w:r>
        <w:rPr>
          <w:rFonts w:ascii="Arial" w:cs="Arial" w:eastAsia="Arial" w:hAnsi="Arial"/>
          <w:b/>
          <w:bCs/>
          <w:color w:val="2E86C1"/>
          <w:sz w:val="26"/>
          <w:szCs w:val="26"/>
        </w:rPr>
        <w:t xml:space="preserve">Feature Availability in Real-Time Deployment</w:t>
      </w:r>
    </w:p>
    <w:p>
      <w:pPr>
        <w:spacing w:after="120" w:before="80"/>
        <w:jc w:val="both"/>
      </w:pPr>
      <w:r>
        <w:rPr>
          <w:rFonts w:ascii="Arial" w:cs="Arial" w:eastAsia="Arial" w:hAnsi="Arial"/>
          <w:sz w:val="22"/>
          <w:szCs w:val="22"/>
        </w:rPr>
        <w:t xml:space="preserve">Several features in the model — particularly EngagementScore and SupportTickets_90d — require real-time or near-real-time data pipelines to remain current. If these pipelines experience latency or data quality degradation, the model's predictive accuracy will erode. Infrastructure investment in a reliable data lakehouse with feature freshness monitoring is a prerequisite for full deployment value.</w:t>
      </w:r>
    </w:p>
    <w:p>
      <w:pPr>
        <w:pStyle w:val="Heading2"/>
        <w:spacing w:after="100" w:before="240"/>
      </w:pPr>
      <w:r>
        <w:rPr>
          <w:rFonts w:ascii="Arial" w:cs="Arial" w:eastAsia="Arial" w:hAnsi="Arial"/>
          <w:b/>
          <w:bCs/>
          <w:color w:val="2E86C1"/>
          <w:sz w:val="26"/>
          <w:szCs w:val="26"/>
        </w:rPr>
        <w:t xml:space="preserve">Temporal Generalization</w:t>
      </w:r>
    </w:p>
    <w:p>
      <w:pPr>
        <w:spacing w:after="120" w:before="80"/>
        <w:jc w:val="both"/>
      </w:pPr>
      <w:r>
        <w:rPr>
          <w:rFonts w:ascii="Arial" w:cs="Arial" w:eastAsia="Arial" w:hAnsi="Arial"/>
          <w:sz w:val="22"/>
          <w:szCs w:val="22"/>
        </w:rPr>
        <w:t xml:space="preserve">The dataset covers a single 12-month observation window and does not account for seasonal behavioral cycles, competitive market events, or platform-wide changes (such as pricing increases or content library contractions) that can structurally shift churn behavior. A model trained on data from a price-stable period may underperform following a price increase announcement. Retraining on rolling 6-month windows is recommended to maintain temporal relevance.</w:t>
      </w:r>
    </w:p>
    <w:p>
      <w:pPr>
        <w:pStyle w:val="Heading2"/>
        <w:spacing w:after="100" w:before="240"/>
      </w:pPr>
      <w:r>
        <w:rPr>
          <w:rFonts w:ascii="Arial" w:cs="Arial" w:eastAsia="Arial" w:hAnsi="Arial"/>
          <w:b/>
          <w:bCs/>
          <w:color w:val="2E86C1"/>
          <w:sz w:val="26"/>
          <w:szCs w:val="26"/>
        </w:rPr>
        <w:t xml:space="preserve">Explainability Limitations of Model 3</w:t>
      </w:r>
    </w:p>
    <w:p>
      <w:pPr>
        <w:spacing w:after="120" w:before="80"/>
        <w:jc w:val="both"/>
      </w:pPr>
      <w:r>
        <w:rPr>
          <w:rFonts w:ascii="Arial" w:cs="Arial" w:eastAsia="Arial" w:hAnsi="Arial"/>
          <w:sz w:val="22"/>
          <w:szCs w:val="22"/>
        </w:rPr>
        <w:t xml:space="preserve">As noted in the model comparison section, the combination of dropout and batch normalization in Model 3 reduces the direct interpretability of individual weight contributions. Regulatory environments or internal governance frameworks that require fully explainable model decisions may require supplementary SHAP analysis or, in extreme cases, the adoption of the lower-performing but more interpretable Model 2.</w:t>
      </w:r>
    </w:p>
    <w:p>
      <w:pPr>
        <w:pStyle w:val="Heading2"/>
        <w:spacing w:after="100" w:before="240"/>
      </w:pPr>
      <w:r>
        <w:rPr>
          <w:rFonts w:ascii="Arial" w:cs="Arial" w:eastAsia="Arial" w:hAnsi="Arial"/>
          <w:b/>
          <w:bCs/>
          <w:color w:val="2E86C1"/>
          <w:sz w:val="26"/>
          <w:szCs w:val="26"/>
        </w:rPr>
        <w:t xml:space="preserve">Absence of Qualitative Signals</w:t>
      </w:r>
    </w:p>
    <w:p>
      <w:pPr>
        <w:spacing w:after="120" w:before="80"/>
        <w:jc w:val="both"/>
      </w:pPr>
      <w:r>
        <w:rPr>
          <w:rFonts w:ascii="Arial" w:cs="Arial" w:eastAsia="Arial" w:hAnsi="Arial"/>
          <w:sz w:val="22"/>
          <w:szCs w:val="22"/>
        </w:rPr>
        <w:t xml:space="preserve">The current feature set is entirely quantitative and behavioral — it does not incorporate customer sentiment signals such as Net Promoter Score (NPS) survey responses, social media mention sentiment, or customer service call transcript tone. Research suggests that incorporating such qualitative signals can improve churn model F1 scores by 3–8 percentage points. This is identified as a high-priority future enhancement.</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11: Future Improvements</w:t>
      </w:r>
    </w:p>
    <w:p>
      <w:pPr>
        <w:spacing w:after="120" w:before="80"/>
        <w:jc w:val="both"/>
      </w:pPr>
      <w:r>
        <w:rPr>
          <w:rFonts w:ascii="Arial" w:cs="Arial" w:eastAsia="Arial" w:hAnsi="Arial"/>
          <w:sz w:val="22"/>
          <w:szCs w:val="22"/>
        </w:rPr>
        <w:t xml:space="preserve">This project represents a strong analytical foundation, but several enhancements would meaningfully extend its value over the medium and long term. The improvements below are organized by implementation horizon.</w:t>
      </w:r>
    </w:p>
    <w:p>
      <w:pPr>
        <w:pStyle w:val="Heading2"/>
        <w:spacing w:after="100" w:before="240"/>
      </w:pPr>
      <w:r>
        <w:rPr>
          <w:rFonts w:ascii="Arial" w:cs="Arial" w:eastAsia="Arial" w:hAnsi="Arial"/>
          <w:b/>
          <w:bCs/>
          <w:color w:val="2E86C1"/>
          <w:sz w:val="26"/>
          <w:szCs w:val="26"/>
        </w:rPr>
        <w:t xml:space="preserve">Near-Term (0–3 Months)</w:t>
      </w:r>
    </w:p>
    <w:p>
      <w:pPr>
        <w:spacing w:after="80" w:before="180"/>
      </w:pPr>
      <w:r>
        <w:rPr>
          <w:rFonts w:ascii="Arial" w:cs="Arial" w:eastAsia="Arial" w:hAnsi="Arial"/>
          <w:b/>
          <w:bCs/>
          <w:color w:val="1A1A1A"/>
          <w:sz w:val="24"/>
          <w:szCs w:val="24"/>
        </w:rPr>
        <w:t xml:space="preserve">SHAP Explainability Integration</w:t>
      </w:r>
    </w:p>
    <w:p>
      <w:pPr>
        <w:spacing w:after="120" w:before="80"/>
        <w:jc w:val="both"/>
      </w:pPr>
      <w:r>
        <w:rPr>
          <w:rFonts w:ascii="Arial" w:cs="Arial" w:eastAsia="Arial" w:hAnsi="Arial"/>
          <w:sz w:val="22"/>
          <w:szCs w:val="22"/>
        </w:rPr>
        <w:t xml:space="preserve">Deploying SHAP (SHapley Additive exPlanations) as a model companion would generate individual-level feature attribution scores alongside each churn prediction. This would allow Customer Success representatives to understand not just that a customer is at risk, but why — enabling more targeted and credible outreach conversations. SHAP integration is technically straightforward on a Keras model and represents a high-value, low-effort enhancement.</w:t>
      </w:r>
    </w:p>
    <w:p>
      <w:pPr>
        <w:spacing w:after="80" w:before="180"/>
      </w:pPr>
      <w:r>
        <w:rPr>
          <w:rFonts w:ascii="Arial" w:cs="Arial" w:eastAsia="Arial" w:hAnsi="Arial"/>
          <w:b/>
          <w:bCs/>
          <w:color w:val="1A1A1A"/>
          <w:sz w:val="24"/>
          <w:szCs w:val="24"/>
        </w:rPr>
        <w:t xml:space="preserve">Decision Threshold Optimization</w:t>
      </w:r>
    </w:p>
    <w:p>
      <w:pPr>
        <w:spacing w:after="120" w:before="80"/>
        <w:jc w:val="both"/>
      </w:pPr>
      <w:r>
        <w:rPr>
          <w:rFonts w:ascii="Arial" w:cs="Arial" w:eastAsia="Arial" w:hAnsi="Arial"/>
          <w:sz w:val="22"/>
          <w:szCs w:val="22"/>
        </w:rPr>
        <w:t xml:space="preserve">The current decision threshold of 0.5 was used for primary evaluation, with sensitivity analysis at 0.4. A more rigorous threshold selection process — using Precision-Recall curves calibrated against the actual cost of false negatives and false positives in the business's financial model — could further optimize operational efficiency. The CFO and Head of Retention should be consulted to assign actual dollar values to each error type.</w:t>
      </w:r>
    </w:p>
    <w:p>
      <w:pPr>
        <w:pStyle w:val="Heading2"/>
        <w:spacing w:after="100" w:before="240"/>
      </w:pPr>
      <w:r>
        <w:rPr>
          <w:rFonts w:ascii="Arial" w:cs="Arial" w:eastAsia="Arial" w:hAnsi="Arial"/>
          <w:b/>
          <w:bCs/>
          <w:color w:val="2E86C1"/>
          <w:sz w:val="26"/>
          <w:szCs w:val="26"/>
        </w:rPr>
        <w:t xml:space="preserve">Medium-Term (3–9 Months)</w:t>
      </w:r>
    </w:p>
    <w:p>
      <w:pPr>
        <w:spacing w:after="80" w:before="180"/>
      </w:pPr>
      <w:r>
        <w:rPr>
          <w:rFonts w:ascii="Arial" w:cs="Arial" w:eastAsia="Arial" w:hAnsi="Arial"/>
          <w:b/>
          <w:bCs/>
          <w:color w:val="1A1A1A"/>
          <w:sz w:val="24"/>
          <w:szCs w:val="24"/>
        </w:rPr>
        <w:t xml:space="preserve">NLP Feature Integration from Support Tickets</w:t>
      </w:r>
    </w:p>
    <w:p>
      <w:pPr>
        <w:spacing w:after="120" w:before="80"/>
        <w:jc w:val="both"/>
      </w:pPr>
      <w:r>
        <w:rPr>
          <w:rFonts w:ascii="Arial" w:cs="Arial" w:eastAsia="Arial" w:hAnsi="Arial"/>
          <w:sz w:val="22"/>
          <w:szCs w:val="22"/>
        </w:rPr>
        <w:t xml:space="preserve">Customer support ticket text contains rich qualitative signals about dissatisfaction, confusion, and service gaps. Integrating an NLP sentiment model — pre-trained on a domain-relevant corpus — as a feature generator for the churn model could materially improve recall among customers who are disengaged but not yet filing formal complaints. This was discussed during the dataset selection phase and remains a compelling enhancement pathway.</w:t>
      </w:r>
    </w:p>
    <w:p>
      <w:pPr>
        <w:spacing w:after="80" w:before="180"/>
      </w:pPr>
      <w:r>
        <w:rPr>
          <w:rFonts w:ascii="Arial" w:cs="Arial" w:eastAsia="Arial" w:hAnsi="Arial"/>
          <w:b/>
          <w:bCs/>
          <w:color w:val="1A1A1A"/>
          <w:sz w:val="24"/>
          <w:szCs w:val="24"/>
        </w:rPr>
        <w:t xml:space="preserve">Hyperparameter Tuning via Bayesian Optimization</w:t>
      </w:r>
    </w:p>
    <w:p>
      <w:pPr>
        <w:spacing w:after="120" w:before="80"/>
        <w:jc w:val="both"/>
      </w:pPr>
      <w:r>
        <w:rPr>
          <w:rFonts w:ascii="Arial" w:cs="Arial" w:eastAsia="Arial" w:hAnsi="Arial"/>
          <w:sz w:val="22"/>
          <w:szCs w:val="22"/>
        </w:rPr>
        <w:t xml:space="preserve">The current models were tuned through structured manual experimentation. A systematic Bayesian hyperparameter optimization pass using Optuna or Keras Tuner — searching across learning rates, layer widths, dropout rates, and batch normalization parameters — could unlock 2–4 additional percentage points of F1 performance without changing the fundamental architecture.</w:t>
      </w:r>
    </w:p>
    <w:p>
      <w:pPr>
        <w:spacing w:after="80" w:before="180"/>
      </w:pPr>
      <w:r>
        <w:rPr>
          <w:rFonts w:ascii="Arial" w:cs="Arial" w:eastAsia="Arial" w:hAnsi="Arial"/>
          <w:b/>
          <w:bCs/>
          <w:color w:val="1A1A1A"/>
          <w:sz w:val="24"/>
          <w:szCs w:val="24"/>
        </w:rPr>
        <w:t xml:space="preserve">Ensemble Models</w:t>
      </w:r>
    </w:p>
    <w:p>
      <w:pPr>
        <w:spacing w:after="120" w:before="80"/>
        <w:jc w:val="both"/>
      </w:pPr>
      <w:r>
        <w:rPr>
          <w:rFonts w:ascii="Arial" w:cs="Arial" w:eastAsia="Arial" w:hAnsi="Arial"/>
          <w:sz w:val="22"/>
          <w:szCs w:val="22"/>
        </w:rPr>
        <w:t xml:space="preserve">Combining the probability outputs of Models 1, 2, and 3 through a soft-voting ensemble or a meta-learning stacking approach could improve prediction stability and reduce variance across customer segments where individual models underperform. Ensemble methods are particularly valuable when the underlying models have complementary error profiles — which, given the architectural differences between the three models, is likely the case here.</w:t>
      </w:r>
    </w:p>
    <w:p>
      <w:pPr>
        <w:pStyle w:val="Heading2"/>
        <w:spacing w:after="100" w:before="240"/>
      </w:pPr>
      <w:r>
        <w:rPr>
          <w:rFonts w:ascii="Arial" w:cs="Arial" w:eastAsia="Arial" w:hAnsi="Arial"/>
          <w:b/>
          <w:bCs/>
          <w:color w:val="2E86C1"/>
          <w:sz w:val="26"/>
          <w:szCs w:val="26"/>
        </w:rPr>
        <w:t xml:space="preserve">Long-Term (9–18 Months)</w:t>
      </w:r>
    </w:p>
    <w:p>
      <w:pPr>
        <w:spacing w:after="80" w:before="180"/>
      </w:pPr>
      <w:r>
        <w:rPr>
          <w:rFonts w:ascii="Arial" w:cs="Arial" w:eastAsia="Arial" w:hAnsi="Arial"/>
          <w:b/>
          <w:bCs/>
          <w:color w:val="1A1A1A"/>
          <w:sz w:val="24"/>
          <w:szCs w:val="24"/>
        </w:rPr>
        <w:t xml:space="preserve">Transfer Learning from Similar Platforms</w:t>
      </w:r>
    </w:p>
    <w:p>
      <w:pPr>
        <w:spacing w:after="120" w:before="80"/>
        <w:jc w:val="both"/>
      </w:pPr>
      <w:r>
        <w:rPr>
          <w:rFonts w:ascii="Arial" w:cs="Arial" w:eastAsia="Arial" w:hAnsi="Arial"/>
          <w:sz w:val="22"/>
          <w:szCs w:val="22"/>
        </w:rPr>
        <w:t xml:space="preserve">If the organization operates in multiple markets or has partner relationships with similar subscription platforms, transfer learning techniques could allow a base model trained on combined data to be fine-tuned on market-specific churn patterns. This is particularly valuable for newer markets where local labeled data is limited.</w:t>
      </w:r>
    </w:p>
    <w:p>
      <w:pPr>
        <w:spacing w:after="80" w:before="180"/>
      </w:pPr>
      <w:r>
        <w:rPr>
          <w:rFonts w:ascii="Arial" w:cs="Arial" w:eastAsia="Arial" w:hAnsi="Arial"/>
          <w:b/>
          <w:bCs/>
          <w:color w:val="1A1A1A"/>
          <w:sz w:val="24"/>
          <w:szCs w:val="24"/>
        </w:rPr>
        <w:t xml:space="preserve">Real-Time Churn Scoring Pipeline</w:t>
      </w:r>
    </w:p>
    <w:p>
      <w:pPr>
        <w:spacing w:after="120" w:before="80"/>
        <w:jc w:val="both"/>
      </w:pPr>
      <w:r>
        <w:rPr>
          <w:rFonts w:ascii="Arial" w:cs="Arial" w:eastAsia="Arial" w:hAnsi="Arial"/>
          <w:sz w:val="22"/>
          <w:szCs w:val="22"/>
        </w:rPr>
        <w:t xml:space="preserve">The current design is a monthly batch-scoring architecture. A real-time pipeline — triggered by behavioral event signals (e.g., a customer's engagement score dropping below 25 following three consecutive low-activity days) — would allow proactive interventions to happen within hours of a risk signal rather than waiting for the monthly scoring cycle. Building this requires streaming data infrastructure (Apache Kafka or similar) and API-accessible model serving.</w:t>
      </w:r>
    </w:p>
    <w:p>
      <w:pPr>
        <w:spacing w:after="80" w:before="180"/>
      </w:pPr>
      <w:r>
        <w:rPr>
          <w:rFonts w:ascii="Arial" w:cs="Arial" w:eastAsia="Arial" w:hAnsi="Arial"/>
          <w:b/>
          <w:bCs/>
          <w:color w:val="1A1A1A"/>
          <w:sz w:val="24"/>
          <w:szCs w:val="24"/>
        </w:rPr>
        <w:t xml:space="preserve">A/B Testing Framework for Retention Interventions</w:t>
      </w:r>
    </w:p>
    <w:p>
      <w:pPr>
        <w:spacing w:after="120" w:before="80"/>
        <w:jc w:val="both"/>
      </w:pPr>
      <w:r>
        <w:rPr>
          <w:rFonts w:ascii="Arial" w:cs="Arial" w:eastAsia="Arial" w:hAnsi="Arial"/>
          <w:sz w:val="22"/>
          <w:szCs w:val="22"/>
        </w:rPr>
        <w:t xml:space="preserve">As the model matures, the most valuable next investment is not further model improvement but rather systematic measurement of intervention effectiveness. A structured A/B testing framework that randomly assigns model-identified at-risk customers to different retention treatments — personalized offers, feature demonstrations, service credit, account reviews — would generate the causal evidence needed to continuously refine the intervention strategy alongside the prediction model.</w:t>
      </w:r>
    </w:p>
    <w:p>
      <w:pPr>
        <w:spacing w:after="0" w:before="80"/>
      </w:pPr>
      <w:r>
        <w:t xml:space="preserve"/>
      </w:r>
    </w:p>
    <w:p>
      <w:r>
        <w:br w:type="page"/>
      </w:r>
    </w:p>
    <w:p>
      <w:pPr>
        <w:pStyle w:val="Heading1"/>
        <w:pBdr>
          <w:bottom w:val="single" w:color="2E75B6" w:sz="6" w:space="6"/>
        </w:pBdr>
        <w:spacing w:after="160" w:before="320"/>
      </w:pPr>
      <w:r>
        <w:rPr>
          <w:rFonts w:ascii="Arial" w:cs="Arial" w:eastAsia="Arial" w:hAnsi="Arial"/>
          <w:b/>
          <w:bCs/>
          <w:color w:val="1F4E79"/>
          <w:sz w:val="32"/>
          <w:szCs w:val="32"/>
        </w:rPr>
        <w:t xml:space="preserve">Section 12: Conclusion</w:t>
      </w:r>
    </w:p>
    <w:p>
      <w:pPr>
        <w:spacing w:after="120" w:before="80"/>
        <w:jc w:val="both"/>
      </w:pPr>
      <w:r>
        <w:rPr>
          <w:rFonts w:ascii="Arial" w:cs="Arial" w:eastAsia="Arial" w:hAnsi="Arial"/>
          <w:sz w:val="22"/>
          <w:szCs w:val="22"/>
        </w:rPr>
        <w:t xml:space="preserve">This project set out to demonstrate that deep learning can generate meaningful, actionable business intelligence in a customer retention context — and the results confirm that it does. Starting from a well-sourced dataset of 10,299 customer records, we applied a disciplined analytical workflow: exploratory investigation, feature engineering, three progressively refined neural network architectures, and rigorous comparative evaluation.</w:t>
      </w:r>
    </w:p>
    <w:p>
      <w:pPr>
        <w:spacing w:after="120" w:before="80"/>
        <w:jc w:val="both"/>
      </w:pPr>
      <w:r>
        <w:rPr>
          <w:rFonts w:ascii="Arial" w:cs="Arial" w:eastAsia="Arial" w:hAnsi="Arial"/>
          <w:sz w:val="22"/>
          <w:szCs w:val="22"/>
        </w:rPr>
        <w:t xml:space="preserve">The recommended model — a feedforward neural network with dropout regularization and batch normalization — achieved an F1 score of 0.887 and a recall of 91.2% on the held-out test set, representing a substantial improvement over both the baseline and regularized model variants. More importantly, it identified a concrete business opportunity: by flagging approximately 9 in 10 customers likely to churn in the coming 30 days, the model enables a retention intervention that could prevent millions of dollars in recurring revenue loss annually.</w:t>
      </w:r>
    </w:p>
    <w:p>
      <w:pPr>
        <w:spacing w:after="120" w:before="80"/>
        <w:jc w:val="both"/>
      </w:pPr>
      <w:r>
        <w:rPr>
          <w:rFonts w:ascii="Arial" w:cs="Arial" w:eastAsia="Arial" w:hAnsi="Arial"/>
          <w:sz w:val="22"/>
          <w:szCs w:val="22"/>
        </w:rPr>
        <w:t xml:space="preserve">The analytical findings revealed that churn on this platform is not random. It concentrates among identifiable customer profiles — low-engagement, month-to-month subscribers with high monthly charges and recurring support friction. This cluster of risk signals is precisely the kind of multi-variable interaction that deep learning captures well and that simpler analytical tools would underestimate.</w:t>
      </w:r>
    </w:p>
    <w:p>
      <w:pPr>
        <w:spacing w:after="120" w:before="80"/>
        <w:jc w:val="both"/>
      </w:pPr>
      <w:r>
        <w:rPr>
          <w:rFonts w:ascii="Arial" w:cs="Arial" w:eastAsia="Arial" w:hAnsi="Arial"/>
          <w:sz w:val="22"/>
          <w:szCs w:val="22"/>
        </w:rPr>
        <w:t xml:space="preserve">The path forward is clear. In the near term, deploying Model 3 in a monthly scoring pipeline — supplemented by SHAP explanations for the Customer Success team — would immediately improve retention economics. In the medium term, integrating NLP signals from support tickets and conducting systematic A/B testing of intervention strategies would elevate the analytical program from predictive to prescriptive. In the long run, a real-time scoring architecture would allow the business to respond to churn signals in near-real-time, closing the gap between signal detection and intervention that currently allows some at-risk customers to slip through.</w:t>
      </w:r>
    </w:p>
    <w:p>
      <w:pPr>
        <w:spacing w:after="120" w:before="80"/>
        <w:jc w:val="both"/>
      </w:pPr>
      <w:r>
        <w:rPr>
          <w:rFonts w:ascii="Arial" w:cs="Arial" w:eastAsia="Arial" w:hAnsi="Arial"/>
          <w:sz w:val="22"/>
          <w:szCs w:val="22"/>
        </w:rPr>
        <w:t xml:space="preserve">Deep learning, when applied to the right problem with appropriate rigor, is not merely a technical exercise — it is a strategic capability. This project demonstrates that capability in a form directly applicable to business decision-making, making it a sound foundation for ongoing investment in the organization's data science function.</w:t>
      </w:r>
    </w:p>
    <w:p>
      <w:pPr>
        <w:spacing w:after="0" w:before="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Analytics &amp; Data Science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Customer Churn Prediction — Deep Learning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2026-06-10T07:09:44.195Z</dcterms:created>
  <dcterms:modified xsi:type="dcterms:W3CDTF">2026-06-10T07:09:44.195Z</dcterms:modified>
</cp:coreProperties>
</file>

<file path=docProps/custom.xml><?xml version="1.0" encoding="utf-8"?>
<Properties xmlns="http://schemas.openxmlformats.org/officeDocument/2006/custom-properties" xmlns:vt="http://schemas.openxmlformats.org/officeDocument/2006/docPropsVTypes"/>
</file>