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A1B6A"/>
          <w:sz w:val="40"/>
          <w:szCs w:val="40"/>
        </w:rPr>
        <w:t xml:space="preserve">EMPLOYEE ATTRITION</w:t>
      </w:r>
    </w:p>
    <w:p>
      <w:pPr>
        <w:spacing w:after="40"/>
        <w:jc w:val="center"/>
      </w:pPr>
      <w:r>
        <w:rPr>
          <w:b/>
          <w:bCs/>
          <w:color w:val="B8860B"/>
          <w:sz w:val="32"/>
          <w:szCs w:val="32"/>
        </w:rPr>
        <w:t xml:space="preserve">&amp; WORKFORCE ANALYTICS DASHBOARD</w:t>
      </w:r>
    </w:p>
    <w:p>
      <w:pPr>
        <w:spacing w:after="40"/>
        <w:jc w:val="center"/>
      </w:pPr>
      <w:r>
        <w:rPr>
          <w:i/>
          <w:iCs/>
          <w:color w:val="595959"/>
          <w:sz w:val="22"/>
          <w:szCs w:val="22"/>
        </w:rPr>
        <w:t xml:space="preserve">HR Analytics in Power BI</w:t>
      </w:r>
    </w:p>
    <w:p>
      <w:pPr>
        <w:spacing w:after="20"/>
        <w:jc w:val="center"/>
      </w:pPr>
      <w:r>
        <w:rPr>
          <w:sz w:val="20"/>
          <w:szCs w:val="20"/>
        </w:rPr>
        <w:t xml:space="preserve">Project Documentation</w:t>
      </w:r>
    </w:p>
    <w:p>
      <w:pPr>
        <w:spacing w:after="20"/>
        <w:jc w:val="center"/>
      </w:pPr>
      <w:r>
        <w:rPr>
          <w:sz w:val="20"/>
          <w:szCs w:val="20"/>
        </w:rPr>
        <w:t xml:space="preserve">Prepared as a Data Analytics Portfolio Project</w:t>
      </w:r>
    </w:p>
    <w:p>
      <w:pPr>
        <w:spacing w:after="400"/>
        <w:jc w:val="center"/>
      </w:pPr>
      <w:r>
        <w:rPr>
          <w:sz w:val="20"/>
          <w:szCs w:val="20"/>
        </w:rPr>
        <w:t xml:space="preserve">Tool: Microsoft Power BI Desktop</w:t>
      </w:r>
    </w:p>
    <w:p>
      <w:pPr>
        <w:pStyle w:val="Heading1"/>
        <w:spacing w:after="150" w:before="300"/>
      </w:pPr>
      <w:r>
        <w:rPr>
          <w:b/>
          <w:bCs/>
          <w:color w:val="6A1B6A"/>
          <w:sz w:val="30"/>
          <w:szCs w:val="30"/>
        </w:rPr>
        <w:t xml:space="preserve">1. Project Overview</w:t>
      </w:r>
    </w:p>
    <w:p>
      <w:pPr>
        <w:spacing w:after="120"/>
      </w:pPr>
      <w:r>
        <w:t xml:space="preserve">This project uses the widely-referenced IBM HR Analytics Employee Attrition dataset to build an interactive Power BI dashboard that analyzes workforce attrition patterns across departments, age groups, education levels, job roles, and gender. It demonstrates data modeling, DAX measures, calculated columns, and multi-dimensional filtering for HR/People Analytics reporting.</w:t>
      </w:r>
    </w:p>
    <w:p>
      <w:pPr>
        <w:spacing w:after="120"/>
      </w:pPr>
      <w:r>
        <w:t xml:space="preserve">The dashboard answers questions an HR leader would actually ask: What is our overall attrition rate? Which departments and education backgrounds lose the most people? Which age groups and genders are most at risk of leaving? How satisfied are employees by job role?</w:t>
      </w:r>
    </w:p>
    <w:p>
      <w:pPr>
        <w:pStyle w:val="Heading1"/>
        <w:spacing w:after="150" w:before="300"/>
      </w:pPr>
      <w:r>
        <w:rPr>
          <w:b/>
          <w:bCs/>
          <w:color w:val="6A1B6A"/>
          <w:sz w:val="30"/>
          <w:szCs w:val="30"/>
        </w:rPr>
        <w:t xml:space="preserve">2. Business Objective</w:t>
      </w:r>
    </w:p>
    <w:p>
      <w:pPr>
        <w:spacing w:after="120"/>
      </w:pPr>
      <w:r>
        <w:t xml:space="preserve">The dashboard was built to help an HR / People Analytics team:</w:t>
      </w:r>
    </w:p>
    <w:p>
      <w:pPr>
        <w:pStyle w:val="ListParagraph"/>
        <w:numPr>
          <w:ilvl w:val="0"/>
          <w:numId w:val="1"/>
        </w:numPr>
        <w:spacing w:after="80"/>
      </w:pPr>
      <w:r>
        <w:t xml:space="preserve">Monitor overall headcount, attrition count, attrition rate, and active employee count in real time.</w:t>
      </w:r>
    </w:p>
    <w:p>
      <w:pPr>
        <w:pStyle w:val="ListParagraph"/>
        <w:numPr>
          <w:ilvl w:val="0"/>
          <w:numId w:val="1"/>
        </w:numPr>
        <w:spacing w:after="80"/>
      </w:pPr>
      <w:r>
        <w:t xml:space="preserve">Identify which departments (R&amp;D, Sales, HR) contribute the most to overall attrition.</w:t>
      </w:r>
    </w:p>
    <w:p>
      <w:pPr>
        <w:pStyle w:val="ListParagraph"/>
        <w:numPr>
          <w:ilvl w:val="0"/>
          <w:numId w:val="1"/>
        </w:numPr>
        <w:spacing w:after="80"/>
      </w:pPr>
      <w:r>
        <w:t xml:space="preserve">Understand how attrition varies by education field (Life Sciences, Medical, Marketing, Technical Degree, HR, Other).</w:t>
      </w:r>
    </w:p>
    <w:p>
      <w:pPr>
        <w:pStyle w:val="ListParagraph"/>
        <w:numPr>
          <w:ilvl w:val="0"/>
          <w:numId w:val="1"/>
        </w:numPr>
        <w:spacing w:after="80"/>
      </w:pPr>
      <w:r>
        <w:t xml:space="preserve">Break down workforce composition and attrition by age band and gender.</w:t>
      </w:r>
    </w:p>
    <w:p>
      <w:pPr>
        <w:pStyle w:val="ListParagraph"/>
        <w:numPr>
          <w:ilvl w:val="0"/>
          <w:numId w:val="1"/>
        </w:numPr>
        <w:spacing w:after="80"/>
      </w:pPr>
      <w:r>
        <w:t xml:space="preserve">Review job satisfaction ratings across every job role to spot roles needing engagement attention.</w:t>
      </w:r>
    </w:p>
    <w:p>
      <w:pPr>
        <w:pStyle w:val="ListParagraph"/>
        <w:numPr>
          <w:ilvl w:val="0"/>
          <w:numId w:val="1"/>
        </w:numPr>
        <w:spacing w:after="80"/>
      </w:pPr>
      <w:r>
        <w:t xml:space="preserve">Filter the entire dashboard by education level (Associate's, Bachelor's, Doctoral, High School, Master's) for targeted analysis.</w:t>
      </w:r>
    </w:p>
    <w:p>
      <w:pPr>
        <w:pStyle w:val="Heading1"/>
        <w:spacing w:after="150" w:before="300"/>
      </w:pPr>
      <w:r>
        <w:rPr>
          <w:b/>
          <w:bCs/>
          <w:color w:val="6A1B6A"/>
          <w:sz w:val="30"/>
          <w:szCs w:val="30"/>
        </w:rPr>
        <w:t xml:space="preserve">3. Dataset Description</w:t>
      </w:r>
    </w:p>
    <w:p>
      <w:pPr>
        <w:spacing w:after="120"/>
      </w:pPr>
      <w:r>
        <w:t xml:space="preserve">The dataset is the standard IBM HR Analytics Employee Attrition schema — 1,470 employee records with 237 attritions (16.1% attrition rate). Fields visible in the model include: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6A1B6A" w:val="clear"/>
            <w:tcMar>
              <w:top w:type="dxa" w:w="80"/>
              <w:left w:type="dxa" w:w="120"/>
              <w:bottom w:type="dxa" w:w="80"/>
              <w:right w:type="dxa" w:w="120"/>
            </w:tcMar>
          </w:tcPr>
          <w:p>
            <w:r>
              <w:rPr>
                <w:b/>
                <w:bCs/>
                <w:color w:val="FFFFFF"/>
                <w:sz w:val="20"/>
                <w:szCs w:val="20"/>
              </w:rPr>
              <w:t xml:space="preserve">Field</w:t>
            </w:r>
          </w:p>
        </w:tc>
        <w:tc>
          <w:tcPr>
            <w:tcW w:type="dxa" w:w="6900"/>
            <w:shd w:fill="6A1B6A" w:val="clear"/>
            <w:tcMar>
              <w:top w:type="dxa" w:w="80"/>
              <w:left w:type="dxa" w:w="120"/>
              <w:bottom w:type="dxa" w:w="80"/>
              <w:right w:type="dxa" w:w="120"/>
            </w:tcMar>
          </w:tcPr>
          <w:p>
            <w:r>
              <w:rPr>
                <w:b/>
                <w:bCs/>
                <w:color w:val="FFFFFF"/>
                <w:sz w:val="20"/>
                <w:szCs w:val="20"/>
              </w:rPr>
              <w:t xml:space="preserve">Description</w:t>
            </w:r>
          </w:p>
        </w:tc>
      </w:tr>
      <w:tr>
        <w:tc>
          <w:tcPr>
            <w:tcW w:type="dxa" w:w="2600"/>
            <w:tcMar>
              <w:top w:type="dxa" w:w="80"/>
              <w:left w:type="dxa" w:w="120"/>
              <w:bottom w:type="dxa" w:w="80"/>
              <w:right w:type="dxa" w:w="120"/>
            </w:tcMar>
          </w:tcPr>
          <w:p>
            <w:r>
              <w:rPr>
                <w:b w:val="false"/>
                <w:bCs w:val="false"/>
                <w:color w:val="000000"/>
                <w:sz w:val="20"/>
                <w:szCs w:val="20"/>
              </w:rPr>
              <w:t xml:space="preserve">emp no / Employee Count</w:t>
            </w:r>
          </w:p>
        </w:tc>
        <w:tc>
          <w:tcPr>
            <w:tcW w:type="dxa" w:w="6900"/>
            <w:tcMar>
              <w:top w:type="dxa" w:w="80"/>
              <w:left w:type="dxa" w:w="120"/>
              <w:bottom w:type="dxa" w:w="80"/>
              <w:right w:type="dxa" w:w="120"/>
            </w:tcMar>
          </w:tcPr>
          <w:p>
            <w:r>
              <w:rPr>
                <w:b w:val="false"/>
                <w:bCs w:val="false"/>
                <w:color w:val="000000"/>
                <w:sz w:val="20"/>
                <w:szCs w:val="20"/>
              </w:rPr>
              <w:t xml:space="preserve">Unique employee identifier and record count field</w:t>
            </w:r>
          </w:p>
        </w:tc>
      </w:tr>
      <w:tr>
        <w:tc>
          <w:tcPr>
            <w:tcW w:type="dxa" w:w="2600"/>
            <w:tcMar>
              <w:top w:type="dxa" w:w="80"/>
              <w:left w:type="dxa" w:w="120"/>
              <w:bottom w:type="dxa" w:w="80"/>
              <w:right w:type="dxa" w:w="120"/>
            </w:tcMar>
          </w:tcPr>
          <w:p>
            <w:r>
              <w:rPr>
                <w:b w:val="false"/>
                <w:bCs w:val="false"/>
                <w:color w:val="000000"/>
                <w:sz w:val="20"/>
                <w:szCs w:val="20"/>
              </w:rPr>
              <w:t xml:space="preserve">Age</w:t>
            </w:r>
          </w:p>
        </w:tc>
        <w:tc>
          <w:tcPr>
            <w:tcW w:type="dxa" w:w="6900"/>
            <w:tcMar>
              <w:top w:type="dxa" w:w="80"/>
              <w:left w:type="dxa" w:w="120"/>
              <w:bottom w:type="dxa" w:w="80"/>
              <w:right w:type="dxa" w:w="120"/>
            </w:tcMar>
          </w:tcPr>
          <w:p>
            <w:r>
              <w:rPr>
                <w:b w:val="false"/>
                <w:bCs w:val="false"/>
                <w:color w:val="000000"/>
                <w:sz w:val="20"/>
                <w:szCs w:val="20"/>
              </w:rPr>
              <w:t xml:space="preserve">Employee age (used to derive the CF_age band calculated column)</w:t>
            </w:r>
          </w:p>
        </w:tc>
      </w:tr>
      <w:tr>
        <w:tc>
          <w:tcPr>
            <w:tcW w:type="dxa" w:w="2600"/>
            <w:tcMar>
              <w:top w:type="dxa" w:w="80"/>
              <w:left w:type="dxa" w:w="120"/>
              <w:bottom w:type="dxa" w:w="80"/>
              <w:right w:type="dxa" w:w="120"/>
            </w:tcMar>
          </w:tcPr>
          <w:p>
            <w:r>
              <w:rPr>
                <w:b w:val="false"/>
                <w:bCs w:val="false"/>
                <w:color w:val="000000"/>
                <w:sz w:val="20"/>
                <w:szCs w:val="20"/>
              </w:rPr>
              <w:t xml:space="preserve">Attrition</w:t>
            </w:r>
          </w:p>
        </w:tc>
        <w:tc>
          <w:tcPr>
            <w:tcW w:type="dxa" w:w="6900"/>
            <w:tcMar>
              <w:top w:type="dxa" w:w="80"/>
              <w:left w:type="dxa" w:w="120"/>
              <w:bottom w:type="dxa" w:w="80"/>
              <w:right w:type="dxa" w:w="120"/>
            </w:tcMar>
          </w:tcPr>
          <w:p>
            <w:r>
              <w:rPr>
                <w:b w:val="false"/>
                <w:bCs w:val="false"/>
                <w:color w:val="000000"/>
                <w:sz w:val="20"/>
                <w:szCs w:val="20"/>
              </w:rPr>
              <w:t xml:space="preserve">Yes/No flag for whether the employee has left</w:t>
            </w:r>
          </w:p>
        </w:tc>
      </w:tr>
      <w:tr>
        <w:tc>
          <w:tcPr>
            <w:tcW w:type="dxa" w:w="2600"/>
            <w:tcMar>
              <w:top w:type="dxa" w:w="80"/>
              <w:left w:type="dxa" w:w="120"/>
              <w:bottom w:type="dxa" w:w="80"/>
              <w:right w:type="dxa" w:w="120"/>
            </w:tcMar>
          </w:tcPr>
          <w:p>
            <w:r>
              <w:rPr>
                <w:b w:val="false"/>
                <w:bCs w:val="false"/>
                <w:color w:val="000000"/>
                <w:sz w:val="20"/>
                <w:szCs w:val="20"/>
              </w:rPr>
              <w:t xml:space="preserve">Department</w:t>
            </w:r>
          </w:p>
        </w:tc>
        <w:tc>
          <w:tcPr>
            <w:tcW w:type="dxa" w:w="6900"/>
            <w:tcMar>
              <w:top w:type="dxa" w:w="80"/>
              <w:left w:type="dxa" w:w="120"/>
              <w:bottom w:type="dxa" w:w="80"/>
              <w:right w:type="dxa" w:w="120"/>
            </w:tcMar>
          </w:tcPr>
          <w:p>
            <w:r>
              <w:rPr>
                <w:b w:val="false"/>
                <w:bCs w:val="false"/>
                <w:color w:val="000000"/>
                <w:sz w:val="20"/>
                <w:szCs w:val="20"/>
              </w:rPr>
              <w:t xml:space="preserve">R&amp;D, Sales, or Human Resources</w:t>
            </w:r>
          </w:p>
        </w:tc>
      </w:tr>
      <w:tr>
        <w:tc>
          <w:tcPr>
            <w:tcW w:type="dxa" w:w="2600"/>
            <w:tcMar>
              <w:top w:type="dxa" w:w="80"/>
              <w:left w:type="dxa" w:w="120"/>
              <w:bottom w:type="dxa" w:w="80"/>
              <w:right w:type="dxa" w:w="120"/>
            </w:tcMar>
          </w:tcPr>
          <w:p>
            <w:r>
              <w:rPr>
                <w:b w:val="false"/>
                <w:bCs w:val="false"/>
                <w:color w:val="000000"/>
                <w:sz w:val="20"/>
                <w:szCs w:val="20"/>
              </w:rPr>
              <w:t xml:space="preserve">Education</w:t>
            </w:r>
          </w:p>
        </w:tc>
        <w:tc>
          <w:tcPr>
            <w:tcW w:type="dxa" w:w="6900"/>
            <w:tcMar>
              <w:top w:type="dxa" w:w="80"/>
              <w:left w:type="dxa" w:w="120"/>
              <w:bottom w:type="dxa" w:w="80"/>
              <w:right w:type="dxa" w:w="120"/>
            </w:tcMar>
          </w:tcPr>
          <w:p>
            <w:r>
              <w:rPr>
                <w:b w:val="false"/>
                <w:bCs w:val="false"/>
                <w:color w:val="000000"/>
                <w:sz w:val="20"/>
                <w:szCs w:val="20"/>
              </w:rPr>
              <w:t xml:space="preserve">Education level: Associate's, Bachelor's, Doctoral, High School, Master's</w:t>
            </w:r>
          </w:p>
        </w:tc>
      </w:tr>
      <w:tr>
        <w:tc>
          <w:tcPr>
            <w:tcW w:type="dxa" w:w="2600"/>
            <w:tcMar>
              <w:top w:type="dxa" w:w="80"/>
              <w:left w:type="dxa" w:w="120"/>
              <w:bottom w:type="dxa" w:w="80"/>
              <w:right w:type="dxa" w:w="120"/>
            </w:tcMar>
          </w:tcPr>
          <w:p>
            <w:r>
              <w:rPr>
                <w:b w:val="false"/>
                <w:bCs w:val="false"/>
                <w:color w:val="000000"/>
                <w:sz w:val="20"/>
                <w:szCs w:val="20"/>
              </w:rPr>
              <w:t xml:space="preserve">Education Field</w:t>
            </w:r>
          </w:p>
        </w:tc>
        <w:tc>
          <w:tcPr>
            <w:tcW w:type="dxa" w:w="6900"/>
            <w:tcMar>
              <w:top w:type="dxa" w:w="80"/>
              <w:left w:type="dxa" w:w="120"/>
              <w:bottom w:type="dxa" w:w="80"/>
              <w:right w:type="dxa" w:w="120"/>
            </w:tcMar>
          </w:tcPr>
          <w:p>
            <w:r>
              <w:rPr>
                <w:b w:val="false"/>
                <w:bCs w:val="false"/>
                <w:color w:val="000000"/>
                <w:sz w:val="20"/>
                <w:szCs w:val="20"/>
              </w:rPr>
              <w:t xml:space="preserve">Life Sciences, Medical, Marketing, Technical Degree, Human Resources, Other</w:t>
            </w:r>
          </w:p>
        </w:tc>
      </w:tr>
      <w:tr>
        <w:tc>
          <w:tcPr>
            <w:tcW w:type="dxa" w:w="2600"/>
            <w:tcMar>
              <w:top w:type="dxa" w:w="80"/>
              <w:left w:type="dxa" w:w="120"/>
              <w:bottom w:type="dxa" w:w="80"/>
              <w:right w:type="dxa" w:w="120"/>
            </w:tcMar>
          </w:tcPr>
          <w:p>
            <w:r>
              <w:rPr>
                <w:b w:val="false"/>
                <w:bCs w:val="false"/>
                <w:color w:val="000000"/>
                <w:sz w:val="20"/>
                <w:szCs w:val="20"/>
              </w:rPr>
              <w:t xml:space="preserve">Business Travel</w:t>
            </w:r>
          </w:p>
        </w:tc>
        <w:tc>
          <w:tcPr>
            <w:tcW w:type="dxa" w:w="6900"/>
            <w:tcMar>
              <w:top w:type="dxa" w:w="80"/>
              <w:left w:type="dxa" w:w="120"/>
              <w:bottom w:type="dxa" w:w="80"/>
              <w:right w:type="dxa" w:w="120"/>
            </w:tcMar>
          </w:tcPr>
          <w:p>
            <w:r>
              <w:rPr>
                <w:b w:val="false"/>
                <w:bCs w:val="false"/>
                <w:color w:val="000000"/>
                <w:sz w:val="20"/>
                <w:szCs w:val="20"/>
              </w:rPr>
              <w:t xml:space="preserve">Travel frequency category</w:t>
            </w:r>
          </w:p>
        </w:tc>
      </w:tr>
      <w:tr>
        <w:tc>
          <w:tcPr>
            <w:tcW w:type="dxa" w:w="2600"/>
            <w:tcMar>
              <w:top w:type="dxa" w:w="80"/>
              <w:left w:type="dxa" w:w="120"/>
              <w:bottom w:type="dxa" w:w="80"/>
              <w:right w:type="dxa" w:w="120"/>
            </w:tcMar>
          </w:tcPr>
          <w:p>
            <w:r>
              <w:rPr>
                <w:b w:val="false"/>
                <w:bCs w:val="false"/>
                <w:color w:val="000000"/>
                <w:sz w:val="20"/>
                <w:szCs w:val="20"/>
              </w:rPr>
              <w:t xml:space="preserve">Distance From Home</w:t>
            </w:r>
          </w:p>
        </w:tc>
        <w:tc>
          <w:tcPr>
            <w:tcW w:type="dxa" w:w="6900"/>
            <w:tcMar>
              <w:top w:type="dxa" w:w="80"/>
              <w:left w:type="dxa" w:w="120"/>
              <w:bottom w:type="dxa" w:w="80"/>
              <w:right w:type="dxa" w:w="120"/>
            </w:tcMar>
          </w:tcPr>
          <w:p>
            <w:r>
              <w:rPr>
                <w:b w:val="false"/>
                <w:bCs w:val="false"/>
                <w:color w:val="000000"/>
                <w:sz w:val="20"/>
                <w:szCs w:val="20"/>
              </w:rPr>
              <w:t xml:space="preserve">Commute distance</w:t>
            </w:r>
          </w:p>
        </w:tc>
      </w:tr>
      <w:tr>
        <w:tc>
          <w:tcPr>
            <w:tcW w:type="dxa" w:w="2600"/>
            <w:tcMar>
              <w:top w:type="dxa" w:w="80"/>
              <w:left w:type="dxa" w:w="120"/>
              <w:bottom w:type="dxa" w:w="80"/>
              <w:right w:type="dxa" w:w="120"/>
            </w:tcMar>
          </w:tcPr>
          <w:p>
            <w:r>
              <w:rPr>
                <w:b w:val="false"/>
                <w:bCs w:val="false"/>
                <w:color w:val="000000"/>
                <w:sz w:val="20"/>
                <w:szCs w:val="20"/>
              </w:rPr>
              <w:t xml:space="preserve">Daily Rate</w:t>
            </w:r>
          </w:p>
        </w:tc>
        <w:tc>
          <w:tcPr>
            <w:tcW w:type="dxa" w:w="6900"/>
            <w:tcMar>
              <w:top w:type="dxa" w:w="80"/>
              <w:left w:type="dxa" w:w="120"/>
              <w:bottom w:type="dxa" w:w="80"/>
              <w:right w:type="dxa" w:w="120"/>
            </w:tcMar>
          </w:tcPr>
          <w:p>
            <w:r>
              <w:rPr>
                <w:b w:val="false"/>
                <w:bCs w:val="false"/>
                <w:color w:val="000000"/>
                <w:sz w:val="20"/>
                <w:szCs w:val="20"/>
              </w:rPr>
              <w:t xml:space="preserve">Daily pay rate</w:t>
            </w:r>
          </w:p>
        </w:tc>
      </w:tr>
      <w:tr>
        <w:tc>
          <w:tcPr>
            <w:tcW w:type="dxa" w:w="2600"/>
            <w:tcMar>
              <w:top w:type="dxa" w:w="80"/>
              <w:left w:type="dxa" w:w="120"/>
              <w:bottom w:type="dxa" w:w="80"/>
              <w:right w:type="dxa" w:w="120"/>
            </w:tcMar>
          </w:tcPr>
          <w:p>
            <w:r>
              <w:rPr>
                <w:b w:val="false"/>
                <w:bCs w:val="false"/>
                <w:color w:val="000000"/>
                <w:sz w:val="20"/>
                <w:szCs w:val="20"/>
              </w:rPr>
              <w:t xml:space="preserve">Gender</w:t>
            </w:r>
          </w:p>
        </w:tc>
        <w:tc>
          <w:tcPr>
            <w:tcW w:type="dxa" w:w="6900"/>
            <w:tcMar>
              <w:top w:type="dxa" w:w="80"/>
              <w:left w:type="dxa" w:w="120"/>
              <w:bottom w:type="dxa" w:w="80"/>
              <w:right w:type="dxa" w:w="120"/>
            </w:tcMar>
          </w:tcPr>
          <w:p>
            <w:r>
              <w:rPr>
                <w:b w:val="false"/>
                <w:bCs w:val="false"/>
                <w:color w:val="000000"/>
                <w:sz w:val="20"/>
                <w:szCs w:val="20"/>
              </w:rPr>
              <w:t xml:space="preserve">Male / Female, used across the age-group and gender attrition visuals</w:t>
            </w:r>
          </w:p>
        </w:tc>
      </w:tr>
    </w:tbl>
    <w:p>
      <w:pPr>
        <w:spacing w:after="120"/>
      </w:pPr>
      <w:r>
        <w:t xml:space="preserve"/>
      </w:r>
    </w:p>
    <w:p>
      <w:pPr>
        <w:spacing w:after="120"/>
      </w:pPr>
      <w:r>
        <w:t xml:space="preserve">Calculated columns built for this model: CF_age band (buckets Age into Under 25 / 25-34 / 35-44 / 45-54 / Over 55), CF_attrition label, and CF_current Employee — these drive the age-band and status groupings used throughout the report.</w:t>
      </w:r>
    </w:p>
    <w:p>
      <w:pPr>
        <w:pStyle w:val="Heading1"/>
        <w:spacing w:after="150" w:before="300"/>
      </w:pPr>
      <w:r>
        <w:rPr>
          <w:b/>
          <w:bCs/>
          <w:color w:val="6A1B6A"/>
          <w:sz w:val="30"/>
          <w:szCs w:val="30"/>
        </w:rPr>
        <w:t xml:space="preserve">4. Tools &amp; Skills Demonstrated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6A1B6A" w:val="clear"/>
            <w:tcMar>
              <w:top w:type="dxa" w:w="80"/>
              <w:left w:type="dxa" w:w="120"/>
              <w:bottom w:type="dxa" w:w="80"/>
              <w:right w:type="dxa" w:w="120"/>
            </w:tcMar>
          </w:tcPr>
          <w:p>
            <w:r>
              <w:rPr>
                <w:b/>
                <w:bCs/>
                <w:color w:val="FFFFFF"/>
                <w:sz w:val="20"/>
                <w:szCs w:val="20"/>
              </w:rPr>
              <w:t xml:space="preserve">Area</w:t>
            </w:r>
          </w:p>
        </w:tc>
        <w:tc>
          <w:tcPr>
            <w:tcW w:type="dxa" w:w="7300"/>
            <w:shd w:fill="6A1B6A" w:val="clear"/>
            <w:tcMar>
              <w:top w:type="dxa" w:w="80"/>
              <w:left w:type="dxa" w:w="120"/>
              <w:bottom w:type="dxa" w:w="80"/>
              <w:right w:type="dxa" w:w="120"/>
            </w:tcMar>
          </w:tcPr>
          <w:p>
            <w:r>
              <w:rPr>
                <w:b/>
                <w:bCs/>
                <w:color w:val="FFFFFF"/>
                <w:sz w:val="20"/>
                <w:szCs w:val="20"/>
              </w:rPr>
              <w:t xml:space="preserve">Details</w:t>
            </w:r>
          </w:p>
        </w:tc>
      </w:tr>
      <w:tr>
        <w:tc>
          <w:tcPr>
            <w:tcW w:type="dxa" w:w="2200"/>
            <w:tcMar>
              <w:top w:type="dxa" w:w="80"/>
              <w:left w:type="dxa" w:w="120"/>
              <w:bottom w:type="dxa" w:w="80"/>
              <w:right w:type="dxa" w:w="120"/>
            </w:tcMar>
          </w:tcPr>
          <w:p>
            <w:r>
              <w:rPr>
                <w:b w:val="false"/>
                <w:bCs w:val="false"/>
                <w:color w:val="000000"/>
                <w:sz w:val="20"/>
                <w:szCs w:val="20"/>
              </w:rPr>
              <w:t xml:space="preserve">BI Tool</w:t>
            </w:r>
          </w:p>
        </w:tc>
        <w:tc>
          <w:tcPr>
            <w:tcW w:type="dxa" w:w="7300"/>
            <w:tcMar>
              <w:top w:type="dxa" w:w="80"/>
              <w:left w:type="dxa" w:w="120"/>
              <w:bottom w:type="dxa" w:w="80"/>
              <w:right w:type="dxa" w:w="120"/>
            </w:tcMar>
          </w:tcPr>
          <w:p>
            <w:r>
              <w:rPr>
                <w:b w:val="false"/>
                <w:bCs w:val="false"/>
                <w:color w:val="000000"/>
                <w:sz w:val="20"/>
                <w:szCs w:val="20"/>
              </w:rPr>
              <w:t xml:space="preserve">Microsoft Power BI Desktop</w:t>
            </w:r>
          </w:p>
        </w:tc>
      </w:tr>
      <w:tr>
        <w:tc>
          <w:tcPr>
            <w:tcW w:type="dxa" w:w="2200"/>
            <w:tcMar>
              <w:top w:type="dxa" w:w="80"/>
              <w:left w:type="dxa" w:w="120"/>
              <w:bottom w:type="dxa" w:w="80"/>
              <w:right w:type="dxa" w:w="120"/>
            </w:tcMar>
          </w:tcPr>
          <w:p>
            <w:r>
              <w:rPr>
                <w:b w:val="false"/>
                <w:bCs w:val="false"/>
                <w:color w:val="000000"/>
                <w:sz w:val="20"/>
                <w:szCs w:val="20"/>
              </w:rPr>
              <w:t xml:space="preserve">Data Modeling</w:t>
            </w:r>
          </w:p>
        </w:tc>
        <w:tc>
          <w:tcPr>
            <w:tcW w:type="dxa" w:w="7300"/>
            <w:tcMar>
              <w:top w:type="dxa" w:w="80"/>
              <w:left w:type="dxa" w:w="120"/>
              <w:bottom w:type="dxa" w:w="80"/>
              <w:right w:type="dxa" w:w="120"/>
            </w:tcMar>
          </w:tcPr>
          <w:p>
            <w:r>
              <w:rPr>
                <w:b w:val="false"/>
                <w:bCs w:val="false"/>
                <w:color w:val="000000"/>
                <w:sz w:val="20"/>
                <w:szCs w:val="20"/>
              </w:rPr>
              <w:t xml:space="preserve">Single HR data table enriched with calculated columns for age banding and attrition labeling</w:t>
            </w:r>
          </w:p>
        </w:tc>
      </w:tr>
      <w:tr>
        <w:tc>
          <w:tcPr>
            <w:tcW w:type="dxa" w:w="2200"/>
            <w:tcMar>
              <w:top w:type="dxa" w:w="80"/>
              <w:left w:type="dxa" w:w="120"/>
              <w:bottom w:type="dxa" w:w="80"/>
              <w:right w:type="dxa" w:w="120"/>
            </w:tcMar>
          </w:tcPr>
          <w:p>
            <w:r>
              <w:rPr>
                <w:b w:val="false"/>
                <w:bCs w:val="false"/>
                <w:color w:val="000000"/>
                <w:sz w:val="20"/>
                <w:szCs w:val="20"/>
              </w:rPr>
              <w:t xml:space="preserve">DAX</w:t>
            </w:r>
          </w:p>
        </w:tc>
        <w:tc>
          <w:tcPr>
            <w:tcW w:type="dxa" w:w="7300"/>
            <w:tcMar>
              <w:top w:type="dxa" w:w="80"/>
              <w:left w:type="dxa" w:w="120"/>
              <w:bottom w:type="dxa" w:w="80"/>
              <w:right w:type="dxa" w:w="120"/>
            </w:tcMar>
          </w:tcPr>
          <w:p>
            <w:r>
              <w:rPr>
                <w:b w:val="false"/>
                <w:bCs w:val="false"/>
                <w:color w:val="000000"/>
                <w:sz w:val="20"/>
                <w:szCs w:val="20"/>
              </w:rPr>
              <w:t xml:space="preserve">Custom measures for headcount, attrition count, attrition rate, and average age (see Section 6)</w:t>
            </w:r>
          </w:p>
        </w:tc>
      </w:tr>
      <w:tr>
        <w:tc>
          <w:tcPr>
            <w:tcW w:type="dxa" w:w="2200"/>
            <w:tcMar>
              <w:top w:type="dxa" w:w="80"/>
              <w:left w:type="dxa" w:w="120"/>
              <w:bottom w:type="dxa" w:w="80"/>
              <w:right w:type="dxa" w:w="120"/>
            </w:tcMar>
          </w:tcPr>
          <w:p>
            <w:r>
              <w:rPr>
                <w:b w:val="false"/>
                <w:bCs w:val="false"/>
                <w:color w:val="000000"/>
                <w:sz w:val="20"/>
                <w:szCs w:val="20"/>
              </w:rPr>
              <w:t xml:space="preserve">Visuals Used</w:t>
            </w:r>
          </w:p>
        </w:tc>
        <w:tc>
          <w:tcPr>
            <w:tcW w:type="dxa" w:w="7300"/>
            <w:tcMar>
              <w:top w:type="dxa" w:w="80"/>
              <w:left w:type="dxa" w:w="120"/>
              <w:bottom w:type="dxa" w:w="80"/>
              <w:right w:type="dxa" w:w="120"/>
            </w:tcMar>
          </w:tcPr>
          <w:p>
            <w:r>
              <w:rPr>
                <w:b w:val="false"/>
                <w:bCs w:val="false"/>
                <w:color w:val="000000"/>
                <w:sz w:val="20"/>
                <w:szCs w:val="20"/>
              </w:rPr>
              <w:t xml:space="preserve">KPI cards, pie chart, stacked bar chart, horizontal bar chart, matrix table with conditional formatting, donut charts</w:t>
            </w:r>
          </w:p>
        </w:tc>
      </w:tr>
      <w:tr>
        <w:tc>
          <w:tcPr>
            <w:tcW w:type="dxa" w:w="2200"/>
            <w:tcMar>
              <w:top w:type="dxa" w:w="80"/>
              <w:left w:type="dxa" w:w="120"/>
              <w:bottom w:type="dxa" w:w="80"/>
              <w:right w:type="dxa" w:w="120"/>
            </w:tcMar>
          </w:tcPr>
          <w:p>
            <w:r>
              <w:rPr>
                <w:b w:val="false"/>
                <w:bCs w:val="false"/>
                <w:color w:val="000000"/>
                <w:sz w:val="20"/>
                <w:szCs w:val="20"/>
              </w:rPr>
              <w:t xml:space="preserve">Interactivity</w:t>
            </w:r>
          </w:p>
        </w:tc>
        <w:tc>
          <w:tcPr>
            <w:tcW w:type="dxa" w:w="7300"/>
            <w:tcMar>
              <w:top w:type="dxa" w:w="80"/>
              <w:left w:type="dxa" w:w="120"/>
              <w:bottom w:type="dxa" w:w="80"/>
              <w:right w:type="dxa" w:w="120"/>
            </w:tcMar>
          </w:tcPr>
          <w:p>
            <w:r>
              <w:rPr>
                <w:b w:val="false"/>
                <w:bCs w:val="false"/>
                <w:color w:val="000000"/>
                <w:sz w:val="20"/>
                <w:szCs w:val="20"/>
              </w:rPr>
              <w:t xml:space="preserve">Button-style slicers for Education level, cross-filtering across all visuals</w:t>
            </w:r>
          </w:p>
        </w:tc>
      </w:tr>
      <w:tr>
        <w:tc>
          <w:tcPr>
            <w:tcW w:type="dxa" w:w="2200"/>
            <w:tcMar>
              <w:top w:type="dxa" w:w="80"/>
              <w:left w:type="dxa" w:w="120"/>
              <w:bottom w:type="dxa" w:w="80"/>
              <w:right w:type="dxa" w:w="120"/>
            </w:tcMar>
          </w:tcPr>
          <w:p>
            <w:r>
              <w:rPr>
                <w:b w:val="false"/>
                <w:bCs w:val="false"/>
                <w:color w:val="000000"/>
                <w:sz w:val="20"/>
                <w:szCs w:val="20"/>
              </w:rPr>
              <w:t xml:space="preserve">Design</w:t>
            </w:r>
          </w:p>
        </w:tc>
        <w:tc>
          <w:tcPr>
            <w:tcW w:type="dxa" w:w="7300"/>
            <w:tcMar>
              <w:top w:type="dxa" w:w="80"/>
              <w:left w:type="dxa" w:w="120"/>
              <w:bottom w:type="dxa" w:w="80"/>
              <w:right w:type="dxa" w:w="120"/>
            </w:tcMar>
          </w:tcPr>
          <w:p>
            <w:r>
              <w:rPr>
                <w:b w:val="false"/>
                <w:bCs w:val="false"/>
                <w:color w:val="000000"/>
                <w:sz w:val="20"/>
                <w:szCs w:val="20"/>
              </w:rPr>
              <w:t xml:space="preserve">Purple/gold branded theme, card-based KPI layout, color-coded satisfaction matrix</w:t>
            </w:r>
          </w:p>
        </w:tc>
      </w:tr>
    </w:tbl>
    <w:p>
      <w:pPr>
        <w:pStyle w:val="Heading1"/>
        <w:spacing w:after="150" w:before="300"/>
      </w:pPr>
      <w:r>
        <w:rPr>
          <w:b/>
          <w:bCs/>
          <w:color w:val="6A1B6A"/>
          <w:sz w:val="30"/>
          <w:szCs w:val="30"/>
        </w:rPr>
        <w:t xml:space="preserve">5. Data Model</w:t>
      </w:r>
    </w:p>
    <w:p>
      <w:pPr>
        <w:spacing w:after="120"/>
      </w:pPr>
      <w:r>
        <w:t xml:space="preserve">The model is built around a single, denormalized HR data table (one row per employee) enriched with DAX calculated columns:</w:t>
      </w:r>
    </w:p>
    <w:p>
      <w:pPr>
        <w:pStyle w:val="ListParagraph"/>
        <w:numPr>
          <w:ilvl w:val="0"/>
          <w:numId w:val="1"/>
        </w:numPr>
        <w:spacing w:after="80"/>
      </w:pPr>
      <w:r>
        <w:rPr>
          <w:b/>
          <w:bCs/>
        </w:rPr>
        <w:t xml:space="preserve">Core table: </w:t>
      </w:r>
      <w:r>
        <w:t xml:space="preserve">HR data — one row per employee, holding Age, Attrition, Department, Education, Education Field, Gender, Job Role, Job Satisfaction, and related demographic/compensation fields.</w:t>
      </w:r>
    </w:p>
    <w:p>
      <w:pPr>
        <w:pStyle w:val="ListParagraph"/>
        <w:numPr>
          <w:ilvl w:val="0"/>
          <w:numId w:val="1"/>
        </w:numPr>
        <w:spacing w:after="80"/>
      </w:pPr>
      <w:r>
        <w:rPr>
          <w:b/>
          <w:bCs/>
        </w:rPr>
        <w:t xml:space="preserve">Calculated columns: </w:t>
      </w:r>
      <w:r>
        <w:t xml:space="preserve">CF_age band (age bucketing), CF_attrition label, CF_current Employee — used to drive grouped visuals without needing a separate dimension table.</w:t>
      </w:r>
    </w:p>
    <w:p>
      <w:pPr>
        <w:pStyle w:val="ListParagraph"/>
        <w:numPr>
          <w:ilvl w:val="0"/>
          <w:numId w:val="1"/>
        </w:numPr>
        <w:spacing w:after="80"/>
      </w:pPr>
      <w:r>
        <w:rPr>
          <w:b/>
          <w:bCs/>
        </w:rPr>
        <w:t xml:space="preserve">Supporting measure table: </w:t>
      </w:r>
      <w:r>
        <w:t xml:space="preserve">"Cal" — a dedicated measures table holding Active Employees, Attrition%, Average Age, Total Attrition, and Total Employees, keeping calculations organized separately from the raw data table.</w:t>
      </w:r>
    </w:p>
    <w:p>
      <w:pPr>
        <w:pStyle w:val="Heading1"/>
        <w:spacing w:after="150" w:before="300"/>
      </w:pPr>
      <w:r>
        <w:rPr>
          <w:b/>
          <w:bCs/>
          <w:color w:val="6A1B6A"/>
          <w:sz w:val="30"/>
          <w:szCs w:val="30"/>
        </w:rPr>
        <w:t xml:space="preserve">6. Key DAX Measures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6A1B6A" w:val="clear"/>
            <w:tcMar>
              <w:top w:type="dxa" w:w="80"/>
              <w:left w:type="dxa" w:w="120"/>
              <w:bottom w:type="dxa" w:w="80"/>
              <w:right w:type="dxa" w:w="120"/>
            </w:tcMar>
          </w:tcPr>
          <w:p>
            <w:r>
              <w:rPr>
                <w:b/>
                <w:bCs/>
                <w:color w:val="FFFFFF"/>
                <w:sz w:val="20"/>
                <w:szCs w:val="20"/>
              </w:rPr>
              <w:t xml:space="preserve">Measure</w:t>
            </w:r>
          </w:p>
        </w:tc>
        <w:tc>
          <w:tcPr>
            <w:tcW w:type="dxa" w:w="6900"/>
            <w:shd w:fill="6A1B6A" w:val="clear"/>
            <w:tcMar>
              <w:top w:type="dxa" w:w="80"/>
              <w:left w:type="dxa" w:w="120"/>
              <w:bottom w:type="dxa" w:w="80"/>
              <w:right w:type="dxa" w:w="120"/>
            </w:tcMar>
          </w:tcPr>
          <w:p>
            <w:r>
              <w:rPr>
                <w:b/>
                <w:bCs/>
                <w:color w:val="FFFFFF"/>
                <w:sz w:val="20"/>
                <w:szCs w:val="20"/>
              </w:rPr>
              <w:t xml:space="preserve">Purpose</w:t>
            </w:r>
          </w:p>
        </w:tc>
      </w:tr>
      <w:tr>
        <w:tc>
          <w:tcPr>
            <w:tcW w:type="dxa" w:w="2600"/>
            <w:tcMar>
              <w:top w:type="dxa" w:w="80"/>
              <w:left w:type="dxa" w:w="120"/>
              <w:bottom w:type="dxa" w:w="80"/>
              <w:right w:type="dxa" w:w="120"/>
            </w:tcMar>
          </w:tcPr>
          <w:p>
            <w:r>
              <w:rPr>
                <w:b w:val="false"/>
                <w:bCs w:val="false"/>
                <w:color w:val="000000"/>
                <w:sz w:val="20"/>
                <w:szCs w:val="20"/>
              </w:rPr>
              <w:t xml:space="preserve">Total Employees / Overall Employees</w:t>
            </w:r>
          </w:p>
        </w:tc>
        <w:tc>
          <w:tcPr>
            <w:tcW w:type="dxa" w:w="6900"/>
            <w:tcMar>
              <w:top w:type="dxa" w:w="80"/>
              <w:left w:type="dxa" w:w="120"/>
              <w:bottom w:type="dxa" w:w="80"/>
              <w:right w:type="dxa" w:w="120"/>
            </w:tcMar>
          </w:tcPr>
          <w:p>
            <w:r>
              <w:rPr>
                <w:b w:val="false"/>
                <w:bCs w:val="false"/>
                <w:color w:val="000000"/>
                <w:sz w:val="20"/>
                <w:szCs w:val="20"/>
              </w:rPr>
              <w:t xml:space="preserve">COUNTROWS of the HR data table — overall headcount (1,470)</w:t>
            </w:r>
          </w:p>
        </w:tc>
      </w:tr>
      <w:tr>
        <w:tc>
          <w:tcPr>
            <w:tcW w:type="dxa" w:w="2600"/>
            <w:tcMar>
              <w:top w:type="dxa" w:w="80"/>
              <w:left w:type="dxa" w:w="120"/>
              <w:bottom w:type="dxa" w:w="80"/>
              <w:right w:type="dxa" w:w="120"/>
            </w:tcMar>
          </w:tcPr>
          <w:p>
            <w:r>
              <w:rPr>
                <w:b w:val="false"/>
                <w:bCs w:val="false"/>
                <w:color w:val="000000"/>
                <w:sz w:val="20"/>
                <w:szCs w:val="20"/>
              </w:rPr>
              <w:t xml:space="preserve">Total Attrition / Attrition</w:t>
            </w:r>
          </w:p>
        </w:tc>
        <w:tc>
          <w:tcPr>
            <w:tcW w:type="dxa" w:w="6900"/>
            <w:tcMar>
              <w:top w:type="dxa" w:w="80"/>
              <w:left w:type="dxa" w:w="120"/>
              <w:bottom w:type="dxa" w:w="80"/>
              <w:right w:type="dxa" w:w="120"/>
            </w:tcMar>
          </w:tcPr>
          <w:p>
            <w:r>
              <w:rPr>
                <w:b w:val="false"/>
                <w:bCs w:val="false"/>
                <w:color w:val="000000"/>
                <w:sz w:val="20"/>
                <w:szCs w:val="20"/>
              </w:rPr>
              <w:t xml:space="preserve">COUNT of employees where Attrition = "Yes" (237)</w:t>
            </w:r>
          </w:p>
        </w:tc>
      </w:tr>
      <w:tr>
        <w:tc>
          <w:tcPr>
            <w:tcW w:type="dxa" w:w="2600"/>
            <w:tcMar>
              <w:top w:type="dxa" w:w="80"/>
              <w:left w:type="dxa" w:w="120"/>
              <w:bottom w:type="dxa" w:w="80"/>
              <w:right w:type="dxa" w:w="120"/>
            </w:tcMar>
          </w:tcPr>
          <w:p>
            <w:r>
              <w:rPr>
                <w:b w:val="false"/>
                <w:bCs w:val="false"/>
                <w:color w:val="000000"/>
                <w:sz w:val="20"/>
                <w:szCs w:val="20"/>
              </w:rPr>
              <w:t xml:space="preserve">Active Employees</w:t>
            </w:r>
          </w:p>
        </w:tc>
        <w:tc>
          <w:tcPr>
            <w:tcW w:type="dxa" w:w="6900"/>
            <w:tcMar>
              <w:top w:type="dxa" w:w="80"/>
              <w:left w:type="dxa" w:w="120"/>
              <w:bottom w:type="dxa" w:w="80"/>
              <w:right w:type="dxa" w:w="120"/>
            </w:tcMar>
          </w:tcPr>
          <w:p>
            <w:r>
              <w:rPr>
                <w:b w:val="false"/>
                <w:bCs w:val="false"/>
                <w:color w:val="000000"/>
                <w:sz w:val="20"/>
                <w:szCs w:val="20"/>
              </w:rPr>
              <w:t xml:space="preserve">COUNT of employees where Attrition = "No" (1,233)</w:t>
            </w:r>
          </w:p>
        </w:tc>
      </w:tr>
      <w:tr>
        <w:tc>
          <w:tcPr>
            <w:tcW w:type="dxa" w:w="2600"/>
            <w:tcMar>
              <w:top w:type="dxa" w:w="80"/>
              <w:left w:type="dxa" w:w="120"/>
              <w:bottom w:type="dxa" w:w="80"/>
              <w:right w:type="dxa" w:w="120"/>
            </w:tcMar>
          </w:tcPr>
          <w:p>
            <w:r>
              <w:rPr>
                <w:b w:val="false"/>
                <w:bCs w:val="false"/>
                <w:color w:val="000000"/>
                <w:sz w:val="20"/>
                <w:szCs w:val="20"/>
              </w:rPr>
              <w:t xml:space="preserve">Attrition%</w:t>
            </w:r>
          </w:p>
        </w:tc>
        <w:tc>
          <w:tcPr>
            <w:tcW w:type="dxa" w:w="6900"/>
            <w:tcMar>
              <w:top w:type="dxa" w:w="80"/>
              <w:left w:type="dxa" w:w="120"/>
              <w:bottom w:type="dxa" w:w="80"/>
              <w:right w:type="dxa" w:w="120"/>
            </w:tcMar>
          </w:tcPr>
          <w:p>
            <w:r>
              <w:rPr>
                <w:b w:val="false"/>
                <w:bCs w:val="false"/>
                <w:color w:val="000000"/>
                <w:sz w:val="20"/>
                <w:szCs w:val="20"/>
              </w:rPr>
              <w:t xml:space="preserve">Total Attrition ÷ Total Employees (16%)</w:t>
            </w:r>
          </w:p>
        </w:tc>
      </w:tr>
      <w:tr>
        <w:tc>
          <w:tcPr>
            <w:tcW w:type="dxa" w:w="2600"/>
            <w:tcMar>
              <w:top w:type="dxa" w:w="80"/>
              <w:left w:type="dxa" w:w="120"/>
              <w:bottom w:type="dxa" w:w="80"/>
              <w:right w:type="dxa" w:w="120"/>
            </w:tcMar>
          </w:tcPr>
          <w:p>
            <w:r>
              <w:rPr>
                <w:b w:val="false"/>
                <w:bCs w:val="false"/>
                <w:color w:val="000000"/>
                <w:sz w:val="20"/>
                <w:szCs w:val="20"/>
              </w:rPr>
              <w:t xml:space="preserve">Average Age</w:t>
            </w:r>
          </w:p>
        </w:tc>
        <w:tc>
          <w:tcPr>
            <w:tcW w:type="dxa" w:w="6900"/>
            <w:tcMar>
              <w:top w:type="dxa" w:w="80"/>
              <w:left w:type="dxa" w:w="120"/>
              <w:bottom w:type="dxa" w:w="80"/>
              <w:right w:type="dxa" w:w="120"/>
            </w:tcMar>
          </w:tcPr>
          <w:p>
            <w:r>
              <w:rPr>
                <w:b w:val="false"/>
                <w:bCs w:val="false"/>
                <w:color w:val="000000"/>
                <w:sz w:val="20"/>
                <w:szCs w:val="20"/>
              </w:rPr>
              <w:t xml:space="preserve">AVERAGE of the Age column (37)</w:t>
            </w:r>
          </w:p>
        </w:tc>
      </w:tr>
    </w:tbl>
    <w:p>
      <w:pPr>
        <w:pStyle w:val="Heading1"/>
        <w:spacing w:after="150" w:before="300"/>
      </w:pPr>
      <w:r>
        <w:rPr>
          <w:b/>
          <w:bCs/>
          <w:color w:val="6A1B6A"/>
          <w:sz w:val="30"/>
          <w:szCs w:val="30"/>
        </w:rPr>
        <w:t xml:space="preserve">7. Dashboard Pages</w:t>
      </w:r>
    </w:p>
    <w:p>
      <w:pPr>
        <w:pStyle w:val="Heading2"/>
        <w:spacing w:after="120" w:before="220"/>
      </w:pPr>
      <w:r>
        <w:rPr>
          <w:b/>
          <w:bCs/>
          <w:color w:val="B8860B"/>
          <w:sz w:val="24"/>
          <w:szCs w:val="24"/>
        </w:rPr>
        <w:t xml:space="preserve">HR Attrition Dashboard (Single-Page Report)</w:t>
      </w:r>
    </w:p>
    <w:p>
      <w:pPr>
        <w:spacing w:after="120"/>
      </w:pPr>
      <w:r>
        <w:t xml:space="preserve">The report is a dense single-page operational view:</w:t>
      </w:r>
    </w:p>
    <w:p>
      <w:pPr>
        <w:pStyle w:val="ListParagraph"/>
        <w:numPr>
          <w:ilvl w:val="0"/>
          <w:numId w:val="1"/>
        </w:numPr>
        <w:spacing w:after="80"/>
      </w:pPr>
      <w:r>
        <w:t xml:space="preserve">KPI strip: Overall Employees, Attrition, Attrition%, Active Employees, Average Age — an at-a-glance workforce health check.</w:t>
      </w:r>
    </w:p>
    <w:p>
      <w:pPr>
        <w:pStyle w:val="ListParagraph"/>
        <w:numPr>
          <w:ilvl w:val="0"/>
          <w:numId w:val="1"/>
        </w:numPr>
        <w:spacing w:after="80"/>
      </w:pPr>
      <w:r>
        <w:t xml:space="preserve">Department wise Attrition (pie): share of total attritions coming from R&amp;D, Sales, and HR.</w:t>
      </w:r>
    </w:p>
    <w:p>
      <w:pPr>
        <w:pStyle w:val="ListParagraph"/>
        <w:numPr>
          <w:ilvl w:val="0"/>
          <w:numId w:val="1"/>
        </w:numPr>
        <w:spacing w:after="80"/>
      </w:pPr>
      <w:r>
        <w:t xml:space="preserve">No Of Employee By Age Group (stacked bar): headcount by age band, split by gender (Female/Male).</w:t>
      </w:r>
    </w:p>
    <w:p>
      <w:pPr>
        <w:pStyle w:val="ListParagraph"/>
        <w:numPr>
          <w:ilvl w:val="0"/>
          <w:numId w:val="1"/>
        </w:numPr>
        <w:spacing w:after="80"/>
      </w:pPr>
      <w:r>
        <w:t xml:space="preserve">Job Satisfaction Rating (matrix with conditional formatting): count of employees at each satisfaction level (1-4) per job role, color-coded green for visibility.</w:t>
      </w:r>
    </w:p>
    <w:p>
      <w:pPr>
        <w:pStyle w:val="ListParagraph"/>
        <w:numPr>
          <w:ilvl w:val="0"/>
          <w:numId w:val="1"/>
        </w:numPr>
        <w:spacing w:after="80"/>
      </w:pPr>
      <w:r>
        <w:t xml:space="preserve">Education wise Attrition (horizontal bar): attrition count by education field.</w:t>
      </w:r>
    </w:p>
    <w:p>
      <w:pPr>
        <w:pStyle w:val="ListParagraph"/>
        <w:numPr>
          <w:ilvl w:val="0"/>
          <w:numId w:val="1"/>
        </w:numPr>
        <w:spacing w:after="80"/>
      </w:pPr>
      <w:r>
        <w:t xml:space="preserve">Attrition rate by Gender for different Age Groups (5 donut charts): attrition split by gender within each age band, with percentage labels.</w:t>
      </w:r>
    </w:p>
    <w:p>
      <w:pPr>
        <w:pStyle w:val="ListParagraph"/>
        <w:numPr>
          <w:ilvl w:val="0"/>
          <w:numId w:val="1"/>
        </w:numPr>
        <w:spacing w:after="80"/>
      </w:pPr>
      <w:r>
        <w:t xml:space="preserve">Education-level button slicers (Associate's, Bachelor's, Doctoral, High School, Master's) filtering the entire page.</w:t>
      </w:r>
    </w:p>
    <w:p>
      <w:pPr>
        <w:pStyle w:val="Heading1"/>
        <w:spacing w:after="150" w:before="300"/>
      </w:pPr>
      <w:r>
        <w:rPr>
          <w:b/>
          <w:bCs/>
          <w:color w:val="6A1B6A"/>
          <w:sz w:val="30"/>
          <w:szCs w:val="30"/>
        </w:rPr>
        <w:t xml:space="preserve">8. Key Insights</w:t>
      </w:r>
    </w:p>
    <w:p>
      <w:pPr>
        <w:spacing w:after="120"/>
      </w:pPr>
      <w:r>
        <w:t xml:space="preserve">Based on the dataset (1,470 employees, 237 attritions, 16% attrition rate):</w:t>
      </w:r>
    </w:p>
    <w:p>
      <w:pPr>
        <w:pStyle w:val="ListParagraph"/>
        <w:numPr>
          <w:ilvl w:val="0"/>
          <w:numId w:val="1"/>
        </w:numPr>
        <w:spacing w:after="80"/>
      </w:pPr>
      <w:r>
        <w:rPr>
          <w:b/>
          <w:bCs/>
        </w:rPr>
        <w:t xml:space="preserve">Overall health: </w:t>
      </w:r>
      <w:r>
        <w:t xml:space="preserve">1,233 active employees (84%) vs. 237 attritions (16%) — a moderate attrition rate worth active monitoring.</w:t>
      </w:r>
    </w:p>
    <w:p>
      <w:pPr>
        <w:pStyle w:val="ListParagraph"/>
        <w:numPr>
          <w:ilvl w:val="0"/>
          <w:numId w:val="1"/>
        </w:numPr>
        <w:spacing w:after="80"/>
      </w:pPr>
      <w:r>
        <w:rPr>
          <w:b/>
          <w:bCs/>
        </w:rPr>
        <w:t xml:space="preserve">Department concentration: </w:t>
      </w:r>
      <w:r>
        <w:t xml:space="preserve">R&amp;D accounts for the majority of attritions (56.12%), followed by Sales (38.82%) and HR (5.06%) — notable since R&amp;D and Sales together make up over 94% of all attrition.</w:t>
      </w:r>
    </w:p>
    <w:p>
      <w:pPr>
        <w:pStyle w:val="ListParagraph"/>
        <w:numPr>
          <w:ilvl w:val="0"/>
          <w:numId w:val="1"/>
        </w:numPr>
        <w:spacing w:after="80"/>
      </w:pPr>
      <w:r>
        <w:rPr>
          <w:b/>
          <w:bCs/>
        </w:rPr>
        <w:t xml:space="preserve">Education field risk: </w:t>
      </w:r>
      <w:r>
        <w:t xml:space="preserve">Life Sciences (89) and Medical (63) backgrounds account for the largest share of attritions, more than double Marketing (35) and Technical Degree (32); Human Resources (7) sees the least attrition by education field.</w:t>
      </w:r>
    </w:p>
    <w:p>
      <w:pPr>
        <w:pStyle w:val="ListParagraph"/>
        <w:numPr>
          <w:ilvl w:val="0"/>
          <w:numId w:val="1"/>
        </w:numPr>
        <w:spacing w:after="80"/>
      </w:pPr>
      <w:r>
        <w:rPr>
          <w:b/>
          <w:bCs/>
        </w:rPr>
        <w:t xml:space="preserve">Age &amp; gender pattern: </w:t>
      </w:r>
      <w:r>
        <w:t xml:space="preserve">The 25-34 age band has both the highest headcount (554: 337 male, 217 female) and the highest attrition count (112, 61.6% female / 38.4% male) — the single largest area of attrition risk in the workforce.</w:t>
      </w:r>
    </w:p>
    <w:p>
      <w:pPr>
        <w:pStyle w:val="ListParagraph"/>
        <w:numPr>
          <w:ilvl w:val="0"/>
          <w:numId w:val="1"/>
        </w:numPr>
        <w:spacing w:after="80"/>
      </w:pPr>
      <w:r>
        <w:rPr>
          <w:b/>
          <w:bCs/>
        </w:rPr>
        <w:t xml:space="preserve">Gender skew in attrition: </w:t>
      </w:r>
      <w:r>
        <w:t xml:space="preserve">Female employees show a higher attrition share than their headcount share in most age bands (e.g., 35-44: 72% of attritions in that band are female, despite males outnumbering females in that age group overall) — a pattern worth investigating for retention drivers.</w:t>
      </w:r>
    </w:p>
    <w:p>
      <w:pPr>
        <w:pStyle w:val="ListParagraph"/>
        <w:numPr>
          <w:ilvl w:val="0"/>
          <w:numId w:val="1"/>
        </w:numPr>
        <w:spacing w:after="80"/>
      </w:pPr>
      <w:r>
        <w:rPr>
          <w:b/>
          <w:bCs/>
        </w:rPr>
        <w:t xml:space="preserve">Job satisfaction: </w:t>
      </w:r>
      <w:r>
        <w:t xml:space="preserve">Satisfaction levels are fairly evenly spread across job roles, with Sales Executives and Research Scientists showing the largest headcounts at satisfaction level 4 (112 and 95 respectively) — the strongest-engaged groups by raw count.</w:t>
      </w:r>
    </w:p>
    <w:p>
      <w:pPr>
        <w:pStyle w:val="Heading1"/>
        <w:spacing w:after="150" w:before="300"/>
      </w:pPr>
      <w:r>
        <w:rPr>
          <w:b/>
          <w:bCs/>
          <w:color w:val="6A1B6A"/>
          <w:sz w:val="30"/>
          <w:szCs w:val="30"/>
        </w:rPr>
        <w:t xml:space="preserve">9. How to Use the Dashboard</w:t>
      </w:r>
    </w:p>
    <w:p>
      <w:pPr>
        <w:pStyle w:val="ListParagraph"/>
        <w:numPr>
          <w:ilvl w:val="0"/>
          <w:numId w:val="1"/>
        </w:numPr>
        <w:spacing w:after="80"/>
      </w:pPr>
      <w:r>
        <w:t xml:space="preserve">Click the Education-level buttons (Associate's, Bachelor's, Doctoral, High School, Master's) to filter every visual to that education segment.</w:t>
      </w:r>
    </w:p>
    <w:p>
      <w:pPr>
        <w:pStyle w:val="ListParagraph"/>
        <w:numPr>
          <w:ilvl w:val="0"/>
          <w:numId w:val="1"/>
        </w:numPr>
        <w:spacing w:after="80"/>
      </w:pPr>
      <w:r>
        <w:t xml:space="preserve">Hover over any chart segment for exact counts and percentages.</w:t>
      </w:r>
    </w:p>
    <w:p>
      <w:pPr>
        <w:pStyle w:val="ListParagraph"/>
        <w:numPr>
          <w:ilvl w:val="0"/>
          <w:numId w:val="1"/>
        </w:numPr>
        <w:spacing w:after="80"/>
      </w:pPr>
      <w:r>
        <w:t xml:space="preserve">Use the pie and bar charts to cross-filter — clicking a department or education field narrows the age/gender donuts accordingly.</w:t>
      </w:r>
    </w:p>
    <w:p>
      <w:pPr>
        <w:pStyle w:val="ListParagraph"/>
        <w:numPr>
          <w:ilvl w:val="0"/>
          <w:numId w:val="1"/>
        </w:numPr>
        <w:spacing w:after="80"/>
      </w:pPr>
      <w:r>
        <w:t xml:space="preserve">Review the Job Satisfaction matrix's color intensity to quickly spot which roles skew toward lower satisfaction levels.</w:t>
      </w:r>
    </w:p>
    <w:p>
      <w:pPr>
        <w:pStyle w:val="Heading1"/>
        <w:spacing w:after="150" w:before="300"/>
      </w:pPr>
      <w:r>
        <w:rPr>
          <w:b/>
          <w:bCs/>
          <w:color w:val="6A1B6A"/>
          <w:sz w:val="30"/>
          <w:szCs w:val="30"/>
        </w:rPr>
        <w:t xml:space="preserve">10. Potential Enhancements</w:t>
      </w:r>
    </w:p>
    <w:p>
      <w:pPr>
        <w:pStyle w:val="ListParagraph"/>
        <w:numPr>
          <w:ilvl w:val="0"/>
          <w:numId w:val="1"/>
        </w:numPr>
        <w:spacing w:after="80"/>
      </w:pPr>
      <w:r>
        <w:t xml:space="preserve">Add a Monthly Income / Compensation view to correlate pay with attrition risk.</w:t>
      </w:r>
    </w:p>
    <w:p>
      <w:pPr>
        <w:pStyle w:val="ListParagraph"/>
        <w:numPr>
          <w:ilvl w:val="0"/>
          <w:numId w:val="1"/>
        </w:numPr>
        <w:spacing w:after="80"/>
      </w:pPr>
      <w:r>
        <w:t xml:space="preserve">Add a Tenure (Years at Company) trend to see if attrition clusters around specific tenure milestones.</w:t>
      </w:r>
    </w:p>
    <w:p>
      <w:pPr>
        <w:pStyle w:val="ListParagraph"/>
        <w:numPr>
          <w:ilvl w:val="0"/>
          <w:numId w:val="1"/>
        </w:numPr>
        <w:spacing w:after="80"/>
      </w:pPr>
      <w:r>
        <w:t xml:space="preserve">Introduce Overtime and Work-Life Balance as attrition drivers, both present in the standard dataset schema.</w:t>
      </w:r>
    </w:p>
    <w:p>
      <w:pPr>
        <w:pStyle w:val="ListParagraph"/>
        <w:numPr>
          <w:ilvl w:val="0"/>
          <w:numId w:val="1"/>
        </w:numPr>
        <w:spacing w:after="80"/>
      </w:pPr>
      <w:r>
        <w:t xml:space="preserve">Add a predictive What-If parameter or simple attrition-risk score using existing satisfaction and tenure fields.</w:t>
      </w:r>
    </w:p>
    <w:p>
      <w:pPr>
        <w:pStyle w:val="ListParagraph"/>
        <w:numPr>
          <w:ilvl w:val="0"/>
          <w:numId w:val="1"/>
        </w:numPr>
        <w:spacing w:after="80"/>
      </w:pPr>
      <w:r>
        <w:t xml:space="preserve">Publish to the Power BI Service with row-level security so each department head sees only their own team.</w:t>
      </w:r>
    </w:p>
    <w:p>
      <w:pPr>
        <w:pStyle w:val="Heading1"/>
        <w:spacing w:after="150" w:before="300"/>
      </w:pPr>
      <w:r>
        <w:rPr>
          <w:b/>
          <w:bCs/>
          <w:color w:val="6A1B6A"/>
          <w:sz w:val="30"/>
          <w:szCs w:val="30"/>
        </w:rPr>
        <w:t xml:space="preserve">11. Project 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6A1B6A" w:val="clear"/>
            <w:tcMar>
              <w:top w:type="dxa" w:w="80"/>
              <w:left w:type="dxa" w:w="120"/>
              <w:bottom w:type="dxa" w:w="80"/>
              <w:right w:type="dxa" w:w="120"/>
            </w:tcMar>
          </w:tcPr>
          <w:p>
            <w:r>
              <w:rPr>
                <w:b/>
                <w:bCs/>
                <w:color w:val="FFFFFF"/>
                <w:sz w:val="20"/>
                <w:szCs w:val="20"/>
              </w:rPr>
              <w:t xml:space="preserve">File</w:t>
            </w:r>
          </w:p>
        </w:tc>
        <w:tc>
          <w:tcPr>
            <w:tcW w:type="dxa" w:w="5900"/>
            <w:shd w:fill="6A1B6A" w:val="clear"/>
            <w:tcMar>
              <w:top w:type="dxa" w:w="80"/>
              <w:left w:type="dxa" w:w="120"/>
              <w:bottom w:type="dxa" w:w="80"/>
              <w:right w:type="dxa" w:w="120"/>
            </w:tcMar>
          </w:tcPr>
          <w:p>
            <w:r>
              <w:rPr>
                <w:b/>
                <w:bCs/>
                <w:color w:val="FFFFFF"/>
                <w:sz w:val="20"/>
                <w:szCs w:val="20"/>
              </w:rPr>
              <w:t xml:space="preserve">Description</w:t>
            </w:r>
          </w:p>
        </w:tc>
      </w:tr>
      <w:tr>
        <w:tc>
          <w:tcPr>
            <w:tcW w:type="dxa" w:w="3600"/>
            <w:tcMar>
              <w:top w:type="dxa" w:w="80"/>
              <w:left w:type="dxa" w:w="120"/>
              <w:bottom w:type="dxa" w:w="80"/>
              <w:right w:type="dxa" w:w="120"/>
            </w:tcMar>
          </w:tcPr>
          <w:p>
            <w:r>
              <w:rPr>
                <w:b w:val="false"/>
                <w:bCs w:val="false"/>
                <w:color w:val="000000"/>
                <w:sz w:val="20"/>
                <w:szCs w:val="20"/>
              </w:rPr>
              <w:t xml:space="preserve">data/HR_Employee_Attrition_Dataset.csv</w:t>
            </w:r>
          </w:p>
        </w:tc>
        <w:tc>
          <w:tcPr>
            <w:tcW w:type="dxa" w:w="5900"/>
            <w:tcMar>
              <w:top w:type="dxa" w:w="80"/>
              <w:left w:type="dxa" w:w="120"/>
              <w:bottom w:type="dxa" w:w="80"/>
              <w:right w:type="dxa" w:w="120"/>
            </w:tcMar>
          </w:tcPr>
          <w:p>
            <w:r>
              <w:rPr>
                <w:b w:val="false"/>
                <w:bCs w:val="false"/>
                <w:color w:val="000000"/>
                <w:sz w:val="20"/>
                <w:szCs w:val="20"/>
              </w:rPr>
              <w:t xml:space="preserve">Source data (1,470 employee records)</w:t>
            </w:r>
          </w:p>
        </w:tc>
      </w:tr>
      <w:tr>
        <w:tc>
          <w:tcPr>
            <w:tcW w:type="dxa" w:w="3600"/>
            <w:tcMar>
              <w:top w:type="dxa" w:w="80"/>
              <w:left w:type="dxa" w:w="120"/>
              <w:bottom w:type="dxa" w:w="80"/>
              <w:right w:type="dxa" w:w="120"/>
            </w:tcMar>
          </w:tcPr>
          <w:p>
            <w:r>
              <w:rPr>
                <w:b w:val="false"/>
                <w:bCs w:val="false"/>
                <w:color w:val="000000"/>
                <w:sz w:val="20"/>
                <w:szCs w:val="20"/>
              </w:rPr>
              <w:t xml:space="preserve">HR_Attrition_Dashboard.pbix</w:t>
            </w:r>
          </w:p>
        </w:tc>
        <w:tc>
          <w:tcPr>
            <w:tcW w:type="dxa" w:w="5900"/>
            <w:tcMar>
              <w:top w:type="dxa" w:w="80"/>
              <w:left w:type="dxa" w:w="120"/>
              <w:bottom w:type="dxa" w:w="80"/>
              <w:right w:type="dxa" w:w="120"/>
            </w:tcMar>
          </w:tcPr>
          <w:p>
            <w:r>
              <w:rPr>
                <w:b w:val="false"/>
                <w:bCs w:val="false"/>
                <w:color w:val="000000"/>
                <w:sz w:val="20"/>
                <w:szCs w:val="20"/>
              </w:rPr>
              <w:t xml:space="preserve">Power BI report file containing the data model, DAX measures, and report page</w:t>
            </w:r>
          </w:p>
        </w:tc>
      </w:tr>
      <w:tr>
        <w:tc>
          <w:tcPr>
            <w:tcW w:type="dxa" w:w="3600"/>
            <w:tcMar>
              <w:top w:type="dxa" w:w="80"/>
              <w:left w:type="dxa" w:w="120"/>
              <w:bottom w:type="dxa" w:w="80"/>
              <w:right w:type="dxa" w:w="120"/>
            </w:tcMar>
          </w:tcPr>
          <w:p>
            <w:r>
              <w:rPr>
                <w:b w:val="false"/>
                <w:bCs w:val="false"/>
                <w:color w:val="000000"/>
                <w:sz w:val="20"/>
                <w:szCs w:val="20"/>
              </w:rPr>
              <w:t xml:space="preserve">README.md / Project Documentation (this file)</w:t>
            </w:r>
          </w:p>
        </w:tc>
        <w:tc>
          <w:tcPr>
            <w:tcW w:type="dxa" w:w="5900"/>
            <w:tcMar>
              <w:top w:type="dxa" w:w="80"/>
              <w:left w:type="dxa" w:w="120"/>
              <w:bottom w:type="dxa" w:w="80"/>
              <w:right w:type="dxa" w:w="120"/>
            </w:tcMar>
          </w:tcPr>
          <w:p>
            <w:r>
              <w:rPr>
                <w:b w:val="false"/>
                <w:bCs w:val="false"/>
                <w:color w:val="000000"/>
                <w:sz w:val="20"/>
                <w:szCs w:val="20"/>
              </w:rPr>
              <w:t xml:space="preserve">Overview, methodology, and insights for portfolio presentation</w:t>
            </w:r>
          </w:p>
        </w:tc>
      </w:tr>
    </w:tbl>
    <w:p>
      <w:pPr>
        <w:pStyle w:val="Heading1"/>
        <w:spacing w:after="150" w:before="300"/>
      </w:pPr>
      <w:r>
        <w:rPr>
          <w:b/>
          <w:bCs/>
          <w:color w:val="6A1B6A"/>
          <w:sz w:val="30"/>
          <w:szCs w:val="30"/>
        </w:rPr>
        <w:t xml:space="preserve">12. Suggested Dashboard Names</w:t>
      </w:r>
    </w:p>
    <w:p>
      <w:pPr>
        <w:spacing w:after="120"/>
      </w:pPr>
      <w:r>
        <w:t xml:space="preserve">A few naming options considered for this project, ranked by how well they communicate business value to a portfolio reviewer:</w:t>
      </w:r>
    </w:p>
    <w:p>
      <w:pPr>
        <w:pStyle w:val="ListParagraph"/>
        <w:numPr>
          <w:ilvl w:val="0"/>
          <w:numId w:val="1"/>
        </w:numPr>
        <w:spacing w:after="80"/>
      </w:pPr>
      <w:r>
        <w:rPr>
          <w:b/>
          <w:bCs/>
        </w:rPr>
        <w:t xml:space="preserve">Employee Attrition &amp; Workforce Analytics Dashboard — </w:t>
      </w:r>
      <w:r>
        <w:t xml:space="preserve">recommended. Leads with the business problem (attrition) hiring managers scan for, while signaling broader workforce analytics scope.</w:t>
      </w:r>
    </w:p>
    <w:p>
      <w:pPr>
        <w:pStyle w:val="ListParagraph"/>
        <w:numPr>
          <w:ilvl w:val="0"/>
          <w:numId w:val="1"/>
        </w:numPr>
        <w:spacing w:after="80"/>
      </w:pPr>
      <w:r>
        <w:rPr>
          <w:b/>
          <w:bCs/>
        </w:rPr>
        <w:t xml:space="preserve">HR Analysis Dashboard — </w:t>
      </w:r>
      <w:r>
        <w:t xml:space="preserve">matches the in-app title; clean and simple, but less specific about the attrition focus.</w:t>
      </w:r>
    </w:p>
    <w:p>
      <w:pPr>
        <w:pStyle w:val="ListParagraph"/>
        <w:numPr>
          <w:ilvl w:val="0"/>
          <w:numId w:val="1"/>
        </w:numPr>
        <w:spacing w:after="80"/>
      </w:pPr>
      <w:r>
        <w:rPr>
          <w:b/>
          <w:bCs/>
        </w:rPr>
        <w:t xml:space="preserve">Attrition Insights: HR Analytics Dashboard — </w:t>
      </w:r>
      <w:r>
        <w:t xml:space="preserve">descriptive, strong for a portfolio website or resume bullet.</w:t>
      </w:r>
    </w:p>
    <w:p>
      <w:pPr>
        <w:pStyle w:val="ListParagraph"/>
        <w:numPr>
          <w:ilvl w:val="0"/>
          <w:numId w:val="1"/>
        </w:numPr>
        <w:spacing w:after="80"/>
      </w:pPr>
      <w:r>
        <w:rPr>
          <w:b/>
          <w:bCs/>
        </w:rPr>
        <w:t xml:space="preserve">PeoplePulse: Workforce Retention Dashboard — </w:t>
      </w:r>
      <w:r>
        <w:t xml:space="preserve">more brand-like, good if presenting as a product concept.</w:t>
      </w:r>
    </w:p>
    <w:p>
      <w:pPr>
        <w:pStyle w:val="ListParagraph"/>
        <w:numPr>
          <w:ilvl w:val="0"/>
          <w:numId w:val="1"/>
        </w:numPr>
        <w:spacing w:after="80"/>
      </w:pPr>
      <w:r>
        <w:rPr>
          <w:b/>
          <w:bCs/>
        </w:rPr>
        <w:t xml:space="preserve">HR Command Center — </w:t>
      </w:r>
      <w:r>
        <w:t xml:space="preserve">enterprise, executive-facing tone.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2026-09-13T10:07:16.774Z</dcterms:created>
  <dcterms:modified xsi:type="dcterms:W3CDTF">2026-09-13T10:07:16.794Z</dcterms:modified>
</cp:coreProperties>
</file>

<file path=docProps/custom.xml><?xml version="1.0" encoding="utf-8"?>
<Properties xmlns="http://schemas.openxmlformats.org/officeDocument/2006/custom-properties" xmlns:vt="http://schemas.openxmlformats.org/officeDocument/2006/docPropsVTypes"/>
</file>