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E1A47"/>
          <w:sz w:val="56"/>
          <w:szCs w:val="56"/>
        </w:rPr>
        <w:t xml:space="preserve">SLA COMPLIANCE &amp;</w:t>
      </w:r>
    </w:p>
    <w:p>
      <w:pPr>
        <w:spacing w:after="300"/>
        <w:jc w:val="center"/>
      </w:pPr>
      <w:r>
        <w:rPr>
          <w:b/>
          <w:bCs/>
          <w:color w:val="2E1A47"/>
          <w:sz w:val="56"/>
          <w:szCs w:val="56"/>
        </w:rPr>
        <w:t xml:space="preserve">TICKET RESOLUTION DASHBOARD</w:t>
      </w:r>
    </w:p>
    <w:p>
      <w:pPr>
        <w:spacing w:after="800"/>
        <w:jc w:val="center"/>
      </w:pPr>
      <w:r>
        <w:rPr>
          <w:i/>
          <w:iCs/>
          <w:color w:val="5B3E96"/>
          <w:sz w:val="30"/>
          <w:szCs w:val="30"/>
        </w:rPr>
        <w:t xml:space="preserve">IT Helpdesk Analytics in Power BI</w:t>
      </w:r>
    </w:p>
    <w:p>
      <w:pPr>
        <w:spacing w:before="1600"/>
        <w:jc w:val="center"/>
      </w:pPr>
      <w:r>
        <w:rPr>
          <w:color w:val="595959"/>
          <w:sz w:val="24"/>
          <w:szCs w:val="24"/>
        </w:rPr>
        <w:t xml:space="preserve">Project Documentation</w:t>
      </w:r>
    </w:p>
    <w:p>
      <w:pPr>
        <w:spacing w:after="100"/>
        <w:jc w:val="center"/>
      </w:pPr>
      <w:r>
        <w:rPr>
          <w:color w:val="595959"/>
          <w:sz w:val="20"/>
          <w:szCs w:val="20"/>
        </w:rPr>
        <w:t xml:space="preserve">Prepared as a Data Analytics Portfolio Project</w:t>
      </w:r>
    </w:p>
    <w:p>
      <w:pPr>
        <w:jc w:val="center"/>
      </w:pPr>
      <w:r>
        <w:rPr>
          <w:color w:val="595959"/>
          <w:sz w:val="20"/>
          <w:szCs w:val="20"/>
        </w:rPr>
        <w:t xml:space="preserve">Tool: Microsoft Power BI Desktop</w:t>
      </w:r>
    </w:p>
    <w:p>
      <w:r>
        <w:br w:type="page"/>
      </w:r>
    </w:p>
    <w:p>
      <w:pPr>
        <w:pStyle w:val="Heading1"/>
        <w:spacing w:after="200" w:before="400"/>
      </w:pPr>
      <w:r>
        <w:rPr>
          <w:b/>
          <w:bCs/>
          <w:color w:val="2E1A47"/>
          <w:sz w:val="32"/>
          <w:szCs w:val="32"/>
        </w:rPr>
        <w:t xml:space="preserve">1. Project Overview</w:t>
      </w:r>
    </w:p>
    <w:p>
      <w:pPr>
        <w:spacing w:after="160" w:line="276"/>
      </w:pPr>
      <w:r>
        <w:rPr>
          <w:color w:val="222222"/>
          <w:sz w:val="22"/>
          <w:szCs w:val="22"/>
        </w:rPr>
        <w:t xml:space="preserve">This project simulates a real-world IT Helpdesk / Support Ticketing environment and presents an interactive Power BI dashboard that tracks ticket volume, resolution performance, SLA (Service Level Agreement) compliance, and team workload. It is designed to demonstrate end-to-end BI development skills: data modeling, DAX calculations, interactive visuals, and drill-through navigation for root-cause analysis.</w:t>
      </w:r>
    </w:p>
    <w:p>
      <w:pPr>
        <w:spacing w:after="160" w:line="276"/>
      </w:pPr>
      <w:r>
        <w:rPr>
          <w:color w:val="222222"/>
          <w:sz w:val="22"/>
          <w:szCs w:val="22"/>
        </w:rPr>
        <w:t xml:space="preserve">The dashboard answers questions a support operations manager would actually ask: How many tickets are open vs. closed? Which categories generate the most tickets? Who is carrying the heaviest workload? Are we meeting our SLA targets, and where are we breaching them?</w:t>
      </w:r>
    </w:p>
    <w:p>
      <w:pPr>
        <w:pStyle w:val="Heading1"/>
        <w:spacing w:after="200" w:before="400"/>
      </w:pPr>
      <w:r>
        <w:rPr>
          <w:b/>
          <w:bCs/>
          <w:color w:val="2E1A47"/>
          <w:sz w:val="32"/>
          <w:szCs w:val="32"/>
        </w:rPr>
        <w:t xml:space="preserve">2. Business Objective</w:t>
      </w:r>
    </w:p>
    <w:p>
      <w:pPr>
        <w:spacing w:after="160" w:line="276"/>
      </w:pPr>
      <w:r>
        <w:rPr>
          <w:color w:val="222222"/>
          <w:sz w:val="22"/>
          <w:szCs w:val="22"/>
        </w:rPr>
        <w:t xml:space="preserve">The dashboard was built to help a support/IT operations team:</w:t>
      </w:r>
    </w:p>
    <w:p>
      <w:pPr>
        <w:pStyle w:val="ListParagraph"/>
        <w:numPr>
          <w:ilvl w:val="0"/>
          <w:numId w:val="2"/>
        </w:numPr>
        <w:spacing w:after="90"/>
      </w:pPr>
      <w:r>
        <w:rPr>
          <w:color w:val="222222"/>
          <w:sz w:val="22"/>
          <w:szCs w:val="22"/>
        </w:rPr>
        <w:t xml:space="preserve">Monitor overall ticket health (open, closed, and total volume) in real time.</w:t>
      </w:r>
    </w:p>
    <w:p>
      <w:pPr>
        <w:pStyle w:val="ListParagraph"/>
        <w:numPr>
          <w:ilvl w:val="0"/>
          <w:numId w:val="2"/>
        </w:numPr>
        <w:spacing w:after="90"/>
      </w:pPr>
      <w:r>
        <w:rPr>
          <w:color w:val="222222"/>
          <w:sz w:val="22"/>
          <w:szCs w:val="22"/>
        </w:rPr>
        <w:t xml:space="preserve">Identify which issue categories (Hardware, Software, Network, Security) drive the most support load.</w:t>
      </w:r>
    </w:p>
    <w:p>
      <w:pPr>
        <w:pStyle w:val="ListParagraph"/>
        <w:numPr>
          <w:ilvl w:val="0"/>
          <w:numId w:val="2"/>
        </w:numPr>
        <w:spacing w:after="90"/>
      </w:pPr>
      <w:r>
        <w:rPr>
          <w:color w:val="222222"/>
          <w:sz w:val="22"/>
          <w:szCs w:val="22"/>
        </w:rPr>
        <w:t xml:space="preserve">Evaluate individual and team workload distribution across support agents.</w:t>
      </w:r>
    </w:p>
    <w:p>
      <w:pPr>
        <w:pStyle w:val="ListParagraph"/>
        <w:numPr>
          <w:ilvl w:val="0"/>
          <w:numId w:val="2"/>
        </w:numPr>
        <w:spacing w:after="90"/>
      </w:pPr>
      <w:r>
        <w:rPr>
          <w:color w:val="222222"/>
          <w:sz w:val="22"/>
          <w:szCs w:val="22"/>
        </w:rPr>
        <w:t xml:space="preserve">Track SLA compliance and flag the proportion of tickets breaching resolution deadlines.</w:t>
      </w:r>
    </w:p>
    <w:p>
      <w:pPr>
        <w:pStyle w:val="ListParagraph"/>
        <w:numPr>
          <w:ilvl w:val="0"/>
          <w:numId w:val="2"/>
        </w:numPr>
        <w:spacing w:after="90"/>
      </w:pPr>
      <w:r>
        <w:rPr>
          <w:color w:val="222222"/>
          <w:sz w:val="22"/>
          <w:szCs w:val="22"/>
        </w:rPr>
        <w:t xml:space="preserve">Spot trends in ticket volume over time to support staffing and capacity planning.</w:t>
      </w:r>
    </w:p>
    <w:p>
      <w:pPr>
        <w:pStyle w:val="ListParagraph"/>
        <w:numPr>
          <w:ilvl w:val="0"/>
          <w:numId w:val="2"/>
        </w:numPr>
        <w:spacing w:after="90"/>
      </w:pPr>
      <w:r>
        <w:rPr>
          <w:color w:val="222222"/>
          <w:sz w:val="22"/>
          <w:szCs w:val="22"/>
        </w:rPr>
        <w:t xml:space="preserve">Drill through from summary KPIs into ticket-level detail for audit and root-cause investigation.</w:t>
      </w:r>
    </w:p>
    <w:p>
      <w:pPr>
        <w:pStyle w:val="Heading1"/>
        <w:spacing w:after="200" w:before="400"/>
      </w:pPr>
      <w:r>
        <w:rPr>
          <w:b/>
          <w:bCs/>
          <w:color w:val="2E1A47"/>
          <w:sz w:val="32"/>
          <w:szCs w:val="32"/>
        </w:rPr>
        <w:t xml:space="preserve">3. Dataset Description</w:t>
      </w:r>
    </w:p>
    <w:p>
      <w:pPr>
        <w:spacing w:after="160" w:line="276"/>
      </w:pPr>
      <w:r>
        <w:rPr>
          <w:color w:val="222222"/>
          <w:sz w:val="22"/>
          <w:szCs w:val="22"/>
        </w:rPr>
        <w:t xml:space="preserve">The dataset used is a synthetic IT support ticketing log (ticketing_Dataset.csv) containing the following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2E1A47" w:val="clear"/>
            <w:tcMar>
              <w:top w:type="dxa" w:w="100"/>
              <w:left w:type="dxa" w:w="120"/>
              <w:bottom w:type="dxa" w:w="100"/>
              <w:right w:type="dxa" w:w="120"/>
            </w:tcMar>
          </w:tcPr>
          <w:p>
            <w:r>
              <w:rPr>
                <w:b/>
                <w:bCs/>
                <w:color w:val="FFFFFF"/>
                <w:sz w:val="20"/>
                <w:szCs w:val="20"/>
              </w:rPr>
              <w:t xml:space="preserve">Column</w:t>
            </w:r>
          </w:p>
        </w:tc>
        <w:tc>
          <w:tcPr>
            <w:tcW w:type="dxa" w:w="6800"/>
            <w:shd w:fill="2E1A47" w:val="clear"/>
            <w:tcMar>
              <w:top w:type="dxa" w:w="100"/>
              <w:left w:type="dxa" w:w="120"/>
              <w:bottom w:type="dxa" w:w="100"/>
              <w:right w:type="dxa" w:w="120"/>
            </w:tcMar>
          </w:tcPr>
          <w:p>
            <w:r>
              <w:rPr>
                <w:b/>
                <w:bCs/>
                <w:color w:val="FFFFFF"/>
                <w:sz w:val="20"/>
                <w:szCs w:val="20"/>
              </w:rPr>
              <w:t xml:space="preserve">Description</w:t>
            </w:r>
          </w:p>
        </w:tc>
      </w:tr>
      <w:tr>
        <w:tc>
          <w:tcPr>
            <w:tcW w:type="dxa" w:w="2200"/>
            <w:shd w:fill="F2EEF9" w:val="clear"/>
            <w:tcMar>
              <w:top w:type="dxa" w:w="100"/>
              <w:left w:type="dxa" w:w="120"/>
              <w:bottom w:type="dxa" w:w="100"/>
              <w:right w:type="dxa" w:w="120"/>
            </w:tcMar>
          </w:tcPr>
          <w:p>
            <w:r>
              <w:rPr>
                <w:b w:val="false"/>
                <w:bCs w:val="false"/>
                <w:color w:val="222222"/>
                <w:sz w:val="20"/>
                <w:szCs w:val="20"/>
              </w:rPr>
              <w:t xml:space="preserve">Ticket_ID</w:t>
            </w:r>
          </w:p>
        </w:tc>
        <w:tc>
          <w:tcPr>
            <w:tcW w:type="dxa" w:w="6800"/>
            <w:shd w:fill="F2EEF9" w:val="clear"/>
            <w:tcMar>
              <w:top w:type="dxa" w:w="100"/>
              <w:left w:type="dxa" w:w="120"/>
              <w:bottom w:type="dxa" w:w="100"/>
              <w:right w:type="dxa" w:w="120"/>
            </w:tcMar>
          </w:tcPr>
          <w:p>
            <w:r>
              <w:rPr>
                <w:b w:val="false"/>
                <w:bCs w:val="false"/>
                <w:color w:val="222222"/>
                <w:sz w:val="20"/>
                <w:szCs w:val="20"/>
              </w:rPr>
              <w:t xml:space="preserve">Unique identifier for each support ticket (e.g., T001)</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Date_Opened</w:t>
            </w:r>
          </w:p>
        </w:tc>
        <w:tc>
          <w:tcPr>
            <w:tcW w:type="dxa" w:w="6800"/>
            <w:shd w:fill="FFFFFF" w:val="clear"/>
            <w:tcMar>
              <w:top w:type="dxa" w:w="100"/>
              <w:left w:type="dxa" w:w="120"/>
              <w:bottom w:type="dxa" w:w="100"/>
              <w:right w:type="dxa" w:w="120"/>
            </w:tcMar>
          </w:tcPr>
          <w:p>
            <w:r>
              <w:rPr>
                <w:b w:val="false"/>
                <w:bCs w:val="false"/>
                <w:color w:val="222222"/>
                <w:sz w:val="20"/>
                <w:szCs w:val="20"/>
              </w:rPr>
              <w:t xml:space="preserve">Date the ticket was logged</w:t>
            </w:r>
          </w:p>
        </w:tc>
      </w:tr>
      <w:tr>
        <w:tc>
          <w:tcPr>
            <w:tcW w:type="dxa" w:w="2200"/>
            <w:shd w:fill="F2EEF9" w:val="clear"/>
            <w:tcMar>
              <w:top w:type="dxa" w:w="100"/>
              <w:left w:type="dxa" w:w="120"/>
              <w:bottom w:type="dxa" w:w="100"/>
              <w:right w:type="dxa" w:w="120"/>
            </w:tcMar>
          </w:tcPr>
          <w:p>
            <w:r>
              <w:rPr>
                <w:b w:val="false"/>
                <w:bCs w:val="false"/>
                <w:color w:val="222222"/>
                <w:sz w:val="20"/>
                <w:szCs w:val="20"/>
              </w:rPr>
              <w:t xml:space="preserve">Date_Closed</w:t>
            </w:r>
          </w:p>
        </w:tc>
        <w:tc>
          <w:tcPr>
            <w:tcW w:type="dxa" w:w="6800"/>
            <w:shd w:fill="F2EEF9" w:val="clear"/>
            <w:tcMar>
              <w:top w:type="dxa" w:w="100"/>
              <w:left w:type="dxa" w:w="120"/>
              <w:bottom w:type="dxa" w:w="100"/>
              <w:right w:type="dxa" w:w="120"/>
            </w:tcMar>
          </w:tcPr>
          <w:p>
            <w:r>
              <w:rPr>
                <w:b w:val="false"/>
                <w:bCs w:val="false"/>
                <w:color w:val="222222"/>
                <w:sz w:val="20"/>
                <w:szCs w:val="20"/>
              </w:rPr>
              <w:t xml:space="preserve">Date the ticket was resolved (blank if still open)</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Resolution_Due_Date</w:t>
            </w:r>
          </w:p>
        </w:tc>
        <w:tc>
          <w:tcPr>
            <w:tcW w:type="dxa" w:w="6800"/>
            <w:shd w:fill="FFFFFF" w:val="clear"/>
            <w:tcMar>
              <w:top w:type="dxa" w:w="100"/>
              <w:left w:type="dxa" w:w="120"/>
              <w:bottom w:type="dxa" w:w="100"/>
              <w:right w:type="dxa" w:w="120"/>
            </w:tcMar>
          </w:tcPr>
          <w:p>
            <w:r>
              <w:rPr>
                <w:b w:val="false"/>
                <w:bCs w:val="false"/>
                <w:color w:val="222222"/>
                <w:sz w:val="20"/>
                <w:szCs w:val="20"/>
              </w:rPr>
              <w:t xml:space="preserve">SLA deadline by which the ticket should be resolved</w:t>
            </w:r>
          </w:p>
        </w:tc>
      </w:tr>
      <w:tr>
        <w:tc>
          <w:tcPr>
            <w:tcW w:type="dxa" w:w="2200"/>
            <w:shd w:fill="F2EEF9" w:val="clear"/>
            <w:tcMar>
              <w:top w:type="dxa" w:w="100"/>
              <w:left w:type="dxa" w:w="120"/>
              <w:bottom w:type="dxa" w:w="100"/>
              <w:right w:type="dxa" w:w="120"/>
            </w:tcMar>
          </w:tcPr>
          <w:p>
            <w:r>
              <w:rPr>
                <w:b w:val="false"/>
                <w:bCs w:val="false"/>
                <w:color w:val="222222"/>
                <w:sz w:val="20"/>
                <w:szCs w:val="20"/>
              </w:rPr>
              <w:t xml:space="preserve">Category</w:t>
            </w:r>
          </w:p>
        </w:tc>
        <w:tc>
          <w:tcPr>
            <w:tcW w:type="dxa" w:w="6800"/>
            <w:shd w:fill="F2EEF9" w:val="clear"/>
            <w:tcMar>
              <w:top w:type="dxa" w:w="100"/>
              <w:left w:type="dxa" w:w="120"/>
              <w:bottom w:type="dxa" w:w="100"/>
              <w:right w:type="dxa" w:w="120"/>
            </w:tcMar>
          </w:tcPr>
          <w:p>
            <w:r>
              <w:rPr>
                <w:b w:val="false"/>
                <w:bCs w:val="false"/>
                <w:color w:val="222222"/>
                <w:sz w:val="20"/>
                <w:szCs w:val="20"/>
              </w:rPr>
              <w:t xml:space="preserve">Issue type: Hardware, Software, Network, or Security</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Assigned_To</w:t>
            </w:r>
          </w:p>
        </w:tc>
        <w:tc>
          <w:tcPr>
            <w:tcW w:type="dxa" w:w="6800"/>
            <w:shd w:fill="FFFFFF" w:val="clear"/>
            <w:tcMar>
              <w:top w:type="dxa" w:w="100"/>
              <w:left w:type="dxa" w:w="120"/>
              <w:bottom w:type="dxa" w:w="100"/>
              <w:right w:type="dxa" w:w="120"/>
            </w:tcMar>
          </w:tcPr>
          <w:p>
            <w:r>
              <w:rPr>
                <w:b w:val="false"/>
                <w:bCs w:val="false"/>
                <w:color w:val="222222"/>
                <w:sz w:val="20"/>
                <w:szCs w:val="20"/>
              </w:rPr>
              <w:t xml:space="preserve">Support agent responsible for the ticket</w:t>
            </w:r>
          </w:p>
        </w:tc>
      </w:tr>
      <w:tr>
        <w:tc>
          <w:tcPr>
            <w:tcW w:type="dxa" w:w="2200"/>
            <w:shd w:fill="F2EEF9" w:val="clear"/>
            <w:tcMar>
              <w:top w:type="dxa" w:w="100"/>
              <w:left w:type="dxa" w:w="120"/>
              <w:bottom w:type="dxa" w:w="100"/>
              <w:right w:type="dxa" w:w="120"/>
            </w:tcMar>
          </w:tcPr>
          <w:p>
            <w:r>
              <w:rPr>
                <w:b w:val="false"/>
                <w:bCs w:val="false"/>
                <w:color w:val="222222"/>
                <w:sz w:val="20"/>
                <w:szCs w:val="20"/>
              </w:rPr>
              <w:t xml:space="preserve">Status</w:t>
            </w:r>
          </w:p>
        </w:tc>
        <w:tc>
          <w:tcPr>
            <w:tcW w:type="dxa" w:w="6800"/>
            <w:shd w:fill="F2EEF9" w:val="clear"/>
            <w:tcMar>
              <w:top w:type="dxa" w:w="100"/>
              <w:left w:type="dxa" w:w="120"/>
              <w:bottom w:type="dxa" w:w="100"/>
              <w:right w:type="dxa" w:w="120"/>
            </w:tcMar>
          </w:tcPr>
          <w:p>
            <w:r>
              <w:rPr>
                <w:b w:val="false"/>
                <w:bCs w:val="false"/>
                <w:color w:val="222222"/>
                <w:sz w:val="20"/>
                <w:szCs w:val="20"/>
              </w:rPr>
              <w:t xml:space="preserve">Current ticket state: Open or Closed</w:t>
            </w:r>
          </w:p>
        </w:tc>
      </w:tr>
    </w:tbl>
    <w:p>
      <w:pPr>
        <w:spacing w:after="100" w:before="200"/>
      </w:pPr>
    </w:p>
    <w:p>
      <w:pPr>
        <w:spacing w:after="160" w:line="276"/>
      </w:pPr>
      <w:r>
        <w:rPr>
          <w:color w:val="222222"/>
          <w:sz w:val="22"/>
          <w:szCs w:val="22"/>
        </w:rPr>
        <w:t xml:space="preserve">Dataset size: 1,557 ticket records spanning a full annual cycle (Jan–Dec).</w:t>
      </w:r>
    </w:p>
    <w:p>
      <w:pPr>
        <w:pStyle w:val="Heading1"/>
        <w:spacing w:after="200" w:before="400"/>
      </w:pPr>
      <w:r>
        <w:rPr>
          <w:b/>
          <w:bCs/>
          <w:color w:val="2E1A47"/>
          <w:sz w:val="32"/>
          <w:szCs w:val="32"/>
        </w:rPr>
        <w:t xml:space="preserve">4. Tools &amp; Skills Demonstrated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2E1A47" w:val="clear"/>
            <w:tcMar>
              <w:top w:type="dxa" w:w="100"/>
              <w:left w:type="dxa" w:w="120"/>
              <w:bottom w:type="dxa" w:w="100"/>
              <w:right w:type="dxa" w:w="120"/>
            </w:tcMar>
          </w:tcPr>
          <w:p>
            <w:r>
              <w:rPr>
                <w:b/>
                <w:bCs/>
                <w:color w:val="FFFFFF"/>
                <w:sz w:val="20"/>
                <w:szCs w:val="20"/>
              </w:rPr>
              <w:t xml:space="preserve">Area</w:t>
            </w:r>
          </w:p>
        </w:tc>
        <w:tc>
          <w:tcPr>
            <w:tcW w:type="dxa" w:w="6800"/>
            <w:shd w:fill="2E1A47" w:val="clear"/>
            <w:tcMar>
              <w:top w:type="dxa" w:w="100"/>
              <w:left w:type="dxa" w:w="120"/>
              <w:bottom w:type="dxa" w:w="100"/>
              <w:right w:type="dxa" w:w="120"/>
            </w:tcMar>
          </w:tcPr>
          <w:p>
            <w:r>
              <w:rPr>
                <w:b/>
                <w:bCs/>
                <w:color w:val="FFFFFF"/>
                <w:sz w:val="20"/>
                <w:szCs w:val="20"/>
              </w:rPr>
              <w:t xml:space="preserve">Details</w:t>
            </w:r>
          </w:p>
        </w:tc>
      </w:tr>
      <w:tr>
        <w:tc>
          <w:tcPr>
            <w:tcW w:type="dxa" w:w="2200"/>
            <w:shd w:fill="F2EEF9" w:val="clear"/>
            <w:tcMar>
              <w:top w:type="dxa" w:w="100"/>
              <w:left w:type="dxa" w:w="120"/>
              <w:bottom w:type="dxa" w:w="100"/>
              <w:right w:type="dxa" w:w="120"/>
            </w:tcMar>
          </w:tcPr>
          <w:p>
            <w:r>
              <w:rPr>
                <w:b w:val="false"/>
                <w:bCs w:val="false"/>
                <w:color w:val="222222"/>
                <w:sz w:val="20"/>
                <w:szCs w:val="20"/>
              </w:rPr>
              <w:t xml:space="preserve">BI Tool</w:t>
            </w:r>
          </w:p>
        </w:tc>
        <w:tc>
          <w:tcPr>
            <w:tcW w:type="dxa" w:w="6800"/>
            <w:shd w:fill="F2EEF9" w:val="clear"/>
            <w:tcMar>
              <w:top w:type="dxa" w:w="100"/>
              <w:left w:type="dxa" w:w="120"/>
              <w:bottom w:type="dxa" w:w="100"/>
              <w:right w:type="dxa" w:w="120"/>
            </w:tcMar>
          </w:tcPr>
          <w:p>
            <w:r>
              <w:rPr>
                <w:b w:val="false"/>
                <w:bCs w:val="false"/>
                <w:color w:val="222222"/>
                <w:sz w:val="20"/>
                <w:szCs w:val="20"/>
              </w:rPr>
              <w:t xml:space="preserve">Microsoft Power BI Desktop</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Data Modeling</w:t>
            </w:r>
          </w:p>
        </w:tc>
        <w:tc>
          <w:tcPr>
            <w:tcW w:type="dxa" w:w="6800"/>
            <w:shd w:fill="FFFFFF" w:val="clear"/>
            <w:tcMar>
              <w:top w:type="dxa" w:w="100"/>
              <w:left w:type="dxa" w:w="120"/>
              <w:bottom w:type="dxa" w:w="100"/>
              <w:right w:type="dxa" w:w="120"/>
            </w:tcMar>
          </w:tcPr>
          <w:p>
            <w:r>
              <w:rPr>
                <w:b w:val="false"/>
                <w:bCs w:val="false"/>
                <w:color w:val="222222"/>
                <w:sz w:val="20"/>
                <w:szCs w:val="20"/>
              </w:rPr>
              <w:t xml:space="preserve">Star-schema style model with a dedicated Calendar (date) table for time intelligence</w:t>
            </w:r>
          </w:p>
        </w:tc>
      </w:tr>
      <w:tr>
        <w:tc>
          <w:tcPr>
            <w:tcW w:type="dxa" w:w="2200"/>
            <w:shd w:fill="F2EEF9" w:val="clear"/>
            <w:tcMar>
              <w:top w:type="dxa" w:w="100"/>
              <w:left w:type="dxa" w:w="120"/>
              <w:bottom w:type="dxa" w:w="100"/>
              <w:right w:type="dxa" w:w="120"/>
            </w:tcMar>
          </w:tcPr>
          <w:p>
            <w:r>
              <w:rPr>
                <w:b w:val="false"/>
                <w:bCs w:val="false"/>
                <w:color w:val="222222"/>
                <w:sz w:val="20"/>
                <w:szCs w:val="20"/>
              </w:rPr>
              <w:t xml:space="preserve">DAX</w:t>
            </w:r>
          </w:p>
        </w:tc>
        <w:tc>
          <w:tcPr>
            <w:tcW w:type="dxa" w:w="6800"/>
            <w:shd w:fill="F2EEF9" w:val="clear"/>
            <w:tcMar>
              <w:top w:type="dxa" w:w="100"/>
              <w:left w:type="dxa" w:w="120"/>
              <w:bottom w:type="dxa" w:w="100"/>
              <w:right w:type="dxa" w:w="120"/>
            </w:tcMar>
          </w:tcPr>
          <w:p>
            <w:r>
              <w:rPr>
                <w:b w:val="false"/>
                <w:bCs w:val="false"/>
                <w:color w:val="222222"/>
                <w:sz w:val="20"/>
                <w:szCs w:val="20"/>
              </w:rPr>
              <w:t xml:space="preserve">Custom measures for KPIs, percentages, SLA status, and ticket aging (see Section 6)</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Visuals Used</w:t>
            </w:r>
          </w:p>
        </w:tc>
        <w:tc>
          <w:tcPr>
            <w:tcW w:type="dxa" w:w="6800"/>
            <w:shd w:fill="FFFFFF" w:val="clear"/>
            <w:tcMar>
              <w:top w:type="dxa" w:w="100"/>
              <w:left w:type="dxa" w:w="120"/>
              <w:bottom w:type="dxa" w:w="100"/>
              <w:right w:type="dxa" w:w="120"/>
            </w:tcMar>
          </w:tcPr>
          <w:p>
            <w:r>
              <w:rPr>
                <w:b w:val="false"/>
                <w:bCs w:val="false"/>
                <w:color w:val="222222"/>
                <w:sz w:val="20"/>
                <w:szCs w:val="20"/>
              </w:rPr>
              <w:t xml:space="preserve">KPI cards, donut chart, pie chart, clustered bar chart, line chart, slicers</w:t>
            </w:r>
          </w:p>
        </w:tc>
      </w:tr>
      <w:tr>
        <w:tc>
          <w:tcPr>
            <w:tcW w:type="dxa" w:w="2200"/>
            <w:shd w:fill="F2EEF9" w:val="clear"/>
            <w:tcMar>
              <w:top w:type="dxa" w:w="100"/>
              <w:left w:type="dxa" w:w="120"/>
              <w:bottom w:type="dxa" w:w="100"/>
              <w:right w:type="dxa" w:w="120"/>
            </w:tcMar>
          </w:tcPr>
          <w:p>
            <w:r>
              <w:rPr>
                <w:b w:val="false"/>
                <w:bCs w:val="false"/>
                <w:color w:val="222222"/>
                <w:sz w:val="20"/>
                <w:szCs w:val="20"/>
              </w:rPr>
              <w:t xml:space="preserve">Interactivity</w:t>
            </w:r>
          </w:p>
        </w:tc>
        <w:tc>
          <w:tcPr>
            <w:tcW w:type="dxa" w:w="6800"/>
            <w:shd w:fill="F2EEF9" w:val="clear"/>
            <w:tcMar>
              <w:top w:type="dxa" w:w="100"/>
              <w:left w:type="dxa" w:w="120"/>
              <w:bottom w:type="dxa" w:w="100"/>
              <w:right w:type="dxa" w:w="120"/>
            </w:tcMar>
          </w:tcPr>
          <w:p>
            <w:r>
              <w:rPr>
                <w:b w:val="false"/>
                <w:bCs w:val="false"/>
                <w:color w:val="222222"/>
                <w:sz w:val="20"/>
                <w:szCs w:val="20"/>
              </w:rPr>
              <w:t xml:space="preserve">Cross-filtering slicers (Status, Category, Assigned_To) and button-based drill-through</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Navigation</w:t>
            </w:r>
          </w:p>
        </w:tc>
        <w:tc>
          <w:tcPr>
            <w:tcW w:type="dxa" w:w="6800"/>
            <w:shd w:fill="FFFFFF" w:val="clear"/>
            <w:tcMar>
              <w:top w:type="dxa" w:w="100"/>
              <w:left w:type="dxa" w:w="120"/>
              <w:bottom w:type="dxa" w:w="100"/>
              <w:right w:type="dxa" w:w="120"/>
            </w:tcMar>
          </w:tcPr>
          <w:p>
            <w:r>
              <w:rPr>
                <w:b w:val="false"/>
                <w:bCs w:val="false"/>
                <w:color w:val="222222"/>
                <w:sz w:val="20"/>
                <w:szCs w:val="20"/>
              </w:rPr>
              <w:t xml:space="preserve">Custom drill-through page with a back button for ticket-level detail views</w:t>
            </w:r>
          </w:p>
        </w:tc>
      </w:tr>
      <w:tr>
        <w:tc>
          <w:tcPr>
            <w:tcW w:type="dxa" w:w="2200"/>
            <w:shd w:fill="F2EEF9" w:val="clear"/>
            <w:tcMar>
              <w:top w:type="dxa" w:w="100"/>
              <w:left w:type="dxa" w:w="120"/>
              <w:bottom w:type="dxa" w:w="100"/>
              <w:right w:type="dxa" w:w="120"/>
            </w:tcMar>
          </w:tcPr>
          <w:p>
            <w:r>
              <w:rPr>
                <w:b w:val="false"/>
                <w:bCs w:val="false"/>
                <w:color w:val="222222"/>
                <w:sz w:val="20"/>
                <w:szCs w:val="20"/>
              </w:rPr>
              <w:t xml:space="preserve">Design</w:t>
            </w:r>
          </w:p>
        </w:tc>
        <w:tc>
          <w:tcPr>
            <w:tcW w:type="dxa" w:w="6800"/>
            <w:shd w:fill="F2EEF9" w:val="clear"/>
            <w:tcMar>
              <w:top w:type="dxa" w:w="100"/>
              <w:left w:type="dxa" w:w="120"/>
              <w:bottom w:type="dxa" w:w="100"/>
              <w:right w:type="dxa" w:w="120"/>
            </w:tcMar>
          </w:tcPr>
          <w:p>
            <w:r>
              <w:rPr>
                <w:b w:val="false"/>
                <w:bCs w:val="false"/>
                <w:color w:val="222222"/>
                <w:sz w:val="20"/>
                <w:szCs w:val="20"/>
              </w:rPr>
              <w:t xml:space="preserve">Consistent purple/navy brand theme, card-based KPI layout, clear visual hierarchy</w:t>
            </w:r>
          </w:p>
        </w:tc>
      </w:tr>
    </w:tbl>
    <w:p>
      <w:pPr>
        <w:pStyle w:val="Heading1"/>
        <w:spacing w:after="200" w:before="400"/>
      </w:pPr>
      <w:r>
        <w:rPr>
          <w:b/>
          <w:bCs/>
          <w:color w:val="2E1A47"/>
          <w:sz w:val="32"/>
          <w:szCs w:val="32"/>
        </w:rPr>
        <w:t xml:space="preserve">5. Data Model</w:t>
      </w:r>
    </w:p>
    <w:p>
      <w:pPr>
        <w:spacing w:after="160" w:line="276"/>
      </w:pPr>
      <w:r>
        <w:rPr>
          <w:color w:val="222222"/>
          <w:sz w:val="22"/>
          <w:szCs w:val="22"/>
        </w:rPr>
        <w:t xml:space="preserve">The model follows a simple star schema:</w:t>
      </w:r>
    </w:p>
    <w:p>
      <w:pPr>
        <w:pStyle w:val="ListParagraph"/>
        <w:numPr>
          <w:ilvl w:val="0"/>
          <w:numId w:val="2"/>
        </w:numPr>
        <w:spacing w:after="90"/>
      </w:pPr>
      <w:r>
        <w:rPr>
          <w:color w:val="222222"/>
          <w:sz w:val="22"/>
          <w:szCs w:val="22"/>
        </w:rPr>
        <w:t xml:space="preserve">Fact table: TicketingDB — one row per ticket, holding Ticket_ID, dates, Category, Assigned_To, and Status.</w:t>
      </w:r>
    </w:p>
    <w:p>
      <w:pPr>
        <w:pStyle w:val="ListParagraph"/>
        <w:numPr>
          <w:ilvl w:val="0"/>
          <w:numId w:val="2"/>
        </w:numPr>
        <w:spacing w:after="90"/>
      </w:pPr>
      <w:r>
        <w:rPr>
          <w:color w:val="222222"/>
          <w:sz w:val="22"/>
          <w:szCs w:val="22"/>
        </w:rPr>
        <w:t xml:space="preserve">Dimension table: Calendar Table — a standalone date table used to drive the "Tickets Over Time" trend and any future time-intelligence measures (MTD, YTD, month-over-month).</w:t>
      </w:r>
    </w:p>
    <w:p>
      <w:pPr>
        <w:pStyle w:val="ListParagraph"/>
        <w:numPr>
          <w:ilvl w:val="0"/>
          <w:numId w:val="2"/>
        </w:numPr>
        <w:spacing w:after="90"/>
      </w:pPr>
      <w:r>
        <w:rPr>
          <w:color w:val="222222"/>
          <w:sz w:val="22"/>
          <w:szCs w:val="22"/>
        </w:rPr>
        <w:t xml:space="preserve">Relationship: Calendar Table[Date] joined to TicketingDB[Date_Opened] (one-to-many).</w:t>
      </w:r>
    </w:p>
    <w:p>
      <w:pPr>
        <w:spacing w:after="160" w:line="276"/>
      </w:pPr>
      <w:r>
        <w:rPr>
          <w:color w:val="222222"/>
          <w:sz w:val="22"/>
          <w:szCs w:val="22"/>
        </w:rPr>
        <w:t xml:space="preserve">Keeping a separate calendar table (rather than relying on the raw date column) is a best practice that enables consistent month/quarter/year grouping and protects against gaps in the date range.</w:t>
      </w:r>
    </w:p>
    <w:p>
      <w:pPr>
        <w:pStyle w:val="Heading1"/>
        <w:spacing w:after="200" w:before="400"/>
      </w:pPr>
      <w:r>
        <w:rPr>
          <w:b/>
          <w:bCs/>
          <w:color w:val="2E1A47"/>
          <w:sz w:val="32"/>
          <w:szCs w:val="32"/>
        </w:rPr>
        <w:t xml:space="preserve">6. Key DAX Measures</w:t>
      </w:r>
    </w:p>
    <w:p>
      <w:pPr>
        <w:spacing w:after="160" w:line="276"/>
      </w:pPr>
      <w:r>
        <w:rPr>
          <w:color w:val="222222"/>
          <w:sz w:val="22"/>
          <w:szCs w:val="22"/>
        </w:rPr>
        <w:t xml:space="preserve">The following calculated measures power the KPI cards and visuals: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2E1A47" w:val="clear"/>
            <w:tcMar>
              <w:top w:type="dxa" w:w="100"/>
              <w:left w:type="dxa" w:w="120"/>
              <w:bottom w:type="dxa" w:w="100"/>
              <w:right w:type="dxa" w:w="120"/>
            </w:tcMar>
          </w:tcPr>
          <w:p>
            <w:r>
              <w:rPr>
                <w:b/>
                <w:bCs/>
                <w:color w:val="FFFFFF"/>
                <w:sz w:val="20"/>
                <w:szCs w:val="20"/>
              </w:rPr>
              <w:t xml:space="preserve">Measure</w:t>
            </w:r>
          </w:p>
        </w:tc>
        <w:tc>
          <w:tcPr>
            <w:tcW w:type="dxa" w:w="7000"/>
            <w:shd w:fill="2E1A47" w:val="clear"/>
            <w:tcMar>
              <w:top w:type="dxa" w:w="100"/>
              <w:left w:type="dxa" w:w="120"/>
              <w:bottom w:type="dxa" w:w="100"/>
              <w:right w:type="dxa" w:w="120"/>
            </w:tcMar>
          </w:tcPr>
          <w:p>
            <w:r>
              <w:rPr>
                <w:b/>
                <w:bCs/>
                <w:color w:val="FFFFFF"/>
                <w:sz w:val="20"/>
                <w:szCs w:val="20"/>
              </w:rPr>
              <w:t xml:space="preserve">Purpose</w:t>
            </w:r>
          </w:p>
        </w:tc>
      </w:tr>
      <w:tr>
        <w:tc>
          <w:tcPr>
            <w:tcW w:type="dxa" w:w="2000"/>
            <w:shd w:fill="F2EEF9" w:val="clear"/>
            <w:tcMar>
              <w:top w:type="dxa" w:w="100"/>
              <w:left w:type="dxa" w:w="120"/>
              <w:bottom w:type="dxa" w:w="100"/>
              <w:right w:type="dxa" w:w="120"/>
            </w:tcMar>
          </w:tcPr>
          <w:p>
            <w:r>
              <w:rPr>
                <w:b w:val="false"/>
                <w:bCs w:val="false"/>
                <w:color w:val="222222"/>
                <w:sz w:val="20"/>
                <w:szCs w:val="20"/>
              </w:rPr>
              <w:t xml:space="preserve">Total Tickets</w:t>
            </w:r>
          </w:p>
        </w:tc>
        <w:tc>
          <w:tcPr>
            <w:tcW w:type="dxa" w:w="7000"/>
            <w:shd w:fill="F2EEF9" w:val="clear"/>
            <w:tcMar>
              <w:top w:type="dxa" w:w="100"/>
              <w:left w:type="dxa" w:w="120"/>
              <w:bottom w:type="dxa" w:w="100"/>
              <w:right w:type="dxa" w:w="120"/>
            </w:tcMar>
          </w:tcPr>
          <w:p>
            <w:r>
              <w:rPr>
                <w:b w:val="false"/>
                <w:bCs w:val="false"/>
                <w:color w:val="222222"/>
                <w:sz w:val="20"/>
                <w:szCs w:val="20"/>
              </w:rPr>
              <w:t xml:space="preserve">COUNTROWS of the ticket fact table — overall volume</w:t>
            </w:r>
          </w:p>
        </w:tc>
      </w:tr>
      <w:tr>
        <w:tc>
          <w:tcPr>
            <w:tcW w:type="dxa" w:w="2000"/>
            <w:shd w:fill="FFFFFF" w:val="clear"/>
            <w:tcMar>
              <w:top w:type="dxa" w:w="100"/>
              <w:left w:type="dxa" w:w="120"/>
              <w:bottom w:type="dxa" w:w="100"/>
              <w:right w:type="dxa" w:w="120"/>
            </w:tcMar>
          </w:tcPr>
          <w:p>
            <w:r>
              <w:rPr>
                <w:b w:val="false"/>
                <w:bCs w:val="false"/>
                <w:color w:val="222222"/>
                <w:sz w:val="20"/>
                <w:szCs w:val="20"/>
              </w:rPr>
              <w:t xml:space="preserve">Closed Tickets</w:t>
            </w:r>
          </w:p>
        </w:tc>
        <w:tc>
          <w:tcPr>
            <w:tcW w:type="dxa" w:w="7000"/>
            <w:shd w:fill="FFFFFF" w:val="clear"/>
            <w:tcMar>
              <w:top w:type="dxa" w:w="100"/>
              <w:left w:type="dxa" w:w="120"/>
              <w:bottom w:type="dxa" w:w="100"/>
              <w:right w:type="dxa" w:w="120"/>
            </w:tcMar>
          </w:tcPr>
          <w:p>
            <w:r>
              <w:rPr>
                <w:b w:val="false"/>
                <w:bCs w:val="false"/>
                <w:color w:val="222222"/>
                <w:sz w:val="20"/>
                <w:szCs w:val="20"/>
              </w:rPr>
              <w:t xml:space="preserve">Count of tickets where Status = "Closed"</w:t>
            </w:r>
          </w:p>
        </w:tc>
      </w:tr>
      <w:tr>
        <w:tc>
          <w:tcPr>
            <w:tcW w:type="dxa" w:w="2000"/>
            <w:shd w:fill="F2EEF9" w:val="clear"/>
            <w:tcMar>
              <w:top w:type="dxa" w:w="100"/>
              <w:left w:type="dxa" w:w="120"/>
              <w:bottom w:type="dxa" w:w="100"/>
              <w:right w:type="dxa" w:w="120"/>
            </w:tcMar>
          </w:tcPr>
          <w:p>
            <w:r>
              <w:rPr>
                <w:b w:val="false"/>
                <w:bCs w:val="false"/>
                <w:color w:val="222222"/>
                <w:sz w:val="20"/>
                <w:szCs w:val="20"/>
              </w:rPr>
              <w:t xml:space="preserve">Open Tickets</w:t>
            </w:r>
          </w:p>
        </w:tc>
        <w:tc>
          <w:tcPr>
            <w:tcW w:type="dxa" w:w="7000"/>
            <w:shd w:fill="F2EEF9" w:val="clear"/>
            <w:tcMar>
              <w:top w:type="dxa" w:w="100"/>
              <w:left w:type="dxa" w:w="120"/>
              <w:bottom w:type="dxa" w:w="100"/>
              <w:right w:type="dxa" w:w="120"/>
            </w:tcMar>
          </w:tcPr>
          <w:p>
            <w:r>
              <w:rPr>
                <w:b w:val="false"/>
                <w:bCs w:val="false"/>
                <w:color w:val="222222"/>
                <w:sz w:val="20"/>
                <w:szCs w:val="20"/>
              </w:rPr>
              <w:t xml:space="preserve">Count of tickets where Status = "Open"</w:t>
            </w:r>
          </w:p>
        </w:tc>
      </w:tr>
      <w:tr>
        <w:tc>
          <w:tcPr>
            <w:tcW w:type="dxa" w:w="2000"/>
            <w:shd w:fill="FFFFFF" w:val="clear"/>
            <w:tcMar>
              <w:top w:type="dxa" w:w="100"/>
              <w:left w:type="dxa" w:w="120"/>
              <w:bottom w:type="dxa" w:w="100"/>
              <w:right w:type="dxa" w:w="120"/>
            </w:tcMar>
          </w:tcPr>
          <w:p>
            <w:r>
              <w:rPr>
                <w:b w:val="false"/>
                <w:bCs w:val="false"/>
                <w:color w:val="222222"/>
                <w:sz w:val="20"/>
                <w:szCs w:val="20"/>
              </w:rPr>
              <w:t xml:space="preserve">Closed Tickets%</w:t>
            </w:r>
          </w:p>
        </w:tc>
        <w:tc>
          <w:tcPr>
            <w:tcW w:type="dxa" w:w="7000"/>
            <w:shd w:fill="FFFFFF" w:val="clear"/>
            <w:tcMar>
              <w:top w:type="dxa" w:w="100"/>
              <w:left w:type="dxa" w:w="120"/>
              <w:bottom w:type="dxa" w:w="100"/>
              <w:right w:type="dxa" w:w="120"/>
            </w:tcMar>
          </w:tcPr>
          <w:p>
            <w:r>
              <w:rPr>
                <w:b w:val="false"/>
                <w:bCs w:val="false"/>
                <w:color w:val="222222"/>
                <w:sz w:val="20"/>
                <w:szCs w:val="20"/>
              </w:rPr>
              <w:t xml:space="preserve">Closed Tickets ÷ Total Tickets</w:t>
            </w:r>
          </w:p>
        </w:tc>
      </w:tr>
      <w:tr>
        <w:tc>
          <w:tcPr>
            <w:tcW w:type="dxa" w:w="2000"/>
            <w:shd w:fill="F2EEF9" w:val="clear"/>
            <w:tcMar>
              <w:top w:type="dxa" w:w="100"/>
              <w:left w:type="dxa" w:w="120"/>
              <w:bottom w:type="dxa" w:w="100"/>
              <w:right w:type="dxa" w:w="120"/>
            </w:tcMar>
          </w:tcPr>
          <w:p>
            <w:r>
              <w:rPr>
                <w:b w:val="false"/>
                <w:bCs w:val="false"/>
                <w:color w:val="222222"/>
                <w:sz w:val="20"/>
                <w:szCs w:val="20"/>
              </w:rPr>
              <w:t xml:space="preserve">Open Tickets%</w:t>
            </w:r>
          </w:p>
        </w:tc>
        <w:tc>
          <w:tcPr>
            <w:tcW w:type="dxa" w:w="7000"/>
            <w:shd w:fill="F2EEF9" w:val="clear"/>
            <w:tcMar>
              <w:top w:type="dxa" w:w="100"/>
              <w:left w:type="dxa" w:w="120"/>
              <w:bottom w:type="dxa" w:w="100"/>
              <w:right w:type="dxa" w:w="120"/>
            </w:tcMar>
          </w:tcPr>
          <w:p>
            <w:r>
              <w:rPr>
                <w:b w:val="false"/>
                <w:bCs w:val="false"/>
                <w:color w:val="222222"/>
                <w:sz w:val="20"/>
                <w:szCs w:val="20"/>
              </w:rPr>
              <w:t xml:space="preserve">Open Tickets ÷ Total Tickets</w:t>
            </w:r>
          </w:p>
        </w:tc>
      </w:tr>
      <w:tr>
        <w:tc>
          <w:tcPr>
            <w:tcW w:type="dxa" w:w="2000"/>
            <w:shd w:fill="FFFFFF" w:val="clear"/>
            <w:tcMar>
              <w:top w:type="dxa" w:w="100"/>
              <w:left w:type="dxa" w:w="120"/>
              <w:bottom w:type="dxa" w:w="100"/>
              <w:right w:type="dxa" w:w="120"/>
            </w:tcMar>
          </w:tcPr>
          <w:p>
            <w:r>
              <w:rPr>
                <w:b w:val="false"/>
                <w:bCs w:val="false"/>
                <w:color w:val="222222"/>
                <w:sz w:val="20"/>
                <w:szCs w:val="20"/>
              </w:rPr>
              <w:t xml:space="preserve">SLA Days</w:t>
            </w:r>
          </w:p>
        </w:tc>
        <w:tc>
          <w:tcPr>
            <w:tcW w:type="dxa" w:w="7000"/>
            <w:shd w:fill="FFFFFF" w:val="clear"/>
            <w:tcMar>
              <w:top w:type="dxa" w:w="100"/>
              <w:left w:type="dxa" w:w="120"/>
              <w:bottom w:type="dxa" w:w="100"/>
              <w:right w:type="dxa" w:w="120"/>
            </w:tcMar>
          </w:tcPr>
          <w:p>
            <w:r>
              <w:rPr>
                <w:b w:val="false"/>
                <w:bCs w:val="false"/>
                <w:color w:val="222222"/>
                <w:sz w:val="20"/>
                <w:szCs w:val="20"/>
              </w:rPr>
              <w:t xml:space="preserve">Resolution_Due_Date − Date_Opened, i.e. the SLA window allowed per ticket</w:t>
            </w:r>
          </w:p>
        </w:tc>
      </w:tr>
      <w:tr>
        <w:tc>
          <w:tcPr>
            <w:tcW w:type="dxa" w:w="2000"/>
            <w:shd w:fill="F2EEF9" w:val="clear"/>
            <w:tcMar>
              <w:top w:type="dxa" w:w="100"/>
              <w:left w:type="dxa" w:w="120"/>
              <w:bottom w:type="dxa" w:w="100"/>
              <w:right w:type="dxa" w:w="120"/>
            </w:tcMar>
          </w:tcPr>
          <w:p>
            <w:r>
              <w:rPr>
                <w:b w:val="false"/>
                <w:bCs w:val="false"/>
                <w:color w:val="222222"/>
                <w:sz w:val="20"/>
                <w:szCs w:val="20"/>
              </w:rPr>
              <w:t xml:space="preserve">SLA Status</w:t>
            </w:r>
          </w:p>
        </w:tc>
        <w:tc>
          <w:tcPr>
            <w:tcW w:type="dxa" w:w="7000"/>
            <w:shd w:fill="F2EEF9" w:val="clear"/>
            <w:tcMar>
              <w:top w:type="dxa" w:w="100"/>
              <w:left w:type="dxa" w:w="120"/>
              <w:bottom w:type="dxa" w:w="100"/>
              <w:right w:type="dxa" w:w="120"/>
            </w:tcMar>
          </w:tcPr>
          <w:p>
            <w:r>
              <w:rPr>
                <w:b w:val="false"/>
                <w:bCs w:val="false"/>
                <w:color w:val="222222"/>
                <w:sz w:val="20"/>
                <w:szCs w:val="20"/>
              </w:rPr>
              <w:t xml:space="preserve">Flags each ticket as "Within SLA" or "SLA Breach" by comparing Date_Closed (or today, for open tickets) against Resolution_Due_Date</w:t>
            </w:r>
          </w:p>
        </w:tc>
      </w:tr>
      <w:tr>
        <w:tc>
          <w:tcPr>
            <w:tcW w:type="dxa" w:w="2000"/>
            <w:shd w:fill="FFFFFF" w:val="clear"/>
            <w:tcMar>
              <w:top w:type="dxa" w:w="100"/>
              <w:left w:type="dxa" w:w="120"/>
              <w:bottom w:type="dxa" w:w="100"/>
              <w:right w:type="dxa" w:w="120"/>
            </w:tcMar>
          </w:tcPr>
          <w:p>
            <w:r>
              <w:rPr>
                <w:b w:val="false"/>
                <w:bCs w:val="false"/>
                <w:color w:val="222222"/>
                <w:sz w:val="20"/>
                <w:szCs w:val="20"/>
              </w:rPr>
              <w:t xml:space="preserve">Age Closed</w:t>
            </w:r>
          </w:p>
        </w:tc>
        <w:tc>
          <w:tcPr>
            <w:tcW w:type="dxa" w:w="7000"/>
            <w:shd w:fill="FFFFFF" w:val="clear"/>
            <w:tcMar>
              <w:top w:type="dxa" w:w="100"/>
              <w:left w:type="dxa" w:w="120"/>
              <w:bottom w:type="dxa" w:w="100"/>
              <w:right w:type="dxa" w:w="120"/>
            </w:tcMar>
          </w:tcPr>
          <w:p>
            <w:r>
              <w:rPr>
                <w:b w:val="false"/>
                <w:bCs w:val="false"/>
                <w:color w:val="222222"/>
                <w:sz w:val="20"/>
                <w:szCs w:val="20"/>
              </w:rPr>
              <w:t xml:space="preserve">Date_Closed − Date_Opened — actual days taken to resolve a closed ticket</w:t>
            </w:r>
          </w:p>
        </w:tc>
      </w:tr>
      <w:tr>
        <w:tc>
          <w:tcPr>
            <w:tcW w:type="dxa" w:w="2000"/>
            <w:shd w:fill="F2EEF9" w:val="clear"/>
            <w:tcMar>
              <w:top w:type="dxa" w:w="100"/>
              <w:left w:type="dxa" w:w="120"/>
              <w:bottom w:type="dxa" w:w="100"/>
              <w:right w:type="dxa" w:w="120"/>
            </w:tcMar>
          </w:tcPr>
          <w:p>
            <w:r>
              <w:rPr>
                <w:b w:val="false"/>
                <w:bCs w:val="false"/>
                <w:color w:val="222222"/>
                <w:sz w:val="20"/>
                <w:szCs w:val="20"/>
              </w:rPr>
              <w:t xml:space="preserve">Open Tickets Age</w:t>
            </w:r>
          </w:p>
        </w:tc>
        <w:tc>
          <w:tcPr>
            <w:tcW w:type="dxa" w:w="7000"/>
            <w:shd w:fill="F2EEF9" w:val="clear"/>
            <w:tcMar>
              <w:top w:type="dxa" w:w="100"/>
              <w:left w:type="dxa" w:w="120"/>
              <w:bottom w:type="dxa" w:w="100"/>
              <w:right w:type="dxa" w:w="120"/>
            </w:tcMar>
          </w:tcPr>
          <w:p>
            <w:r>
              <w:rPr>
                <w:b w:val="false"/>
                <w:bCs w:val="false"/>
                <w:color w:val="222222"/>
                <w:sz w:val="20"/>
                <w:szCs w:val="20"/>
              </w:rPr>
              <w:t xml:space="preserve">TODAY() − Date_Opened — how long a still-open ticket has been outstanding</w:t>
            </w:r>
          </w:p>
        </w:tc>
      </w:tr>
    </w:tbl>
    <w:p>
      <w:pPr>
        <w:pStyle w:val="Heading1"/>
        <w:spacing w:after="200" w:before="400"/>
      </w:pPr>
      <w:r>
        <w:rPr>
          <w:b/>
          <w:bCs/>
          <w:color w:val="2E1A47"/>
          <w:sz w:val="32"/>
          <w:szCs w:val="32"/>
        </w:rPr>
        <w:t xml:space="preserve">7. Dashboard Pages</w:t>
      </w:r>
    </w:p>
    <w:p>
      <w:pPr>
        <w:pStyle w:val="Heading2"/>
        <w:spacing w:after="150" w:before="300"/>
      </w:pPr>
      <w:r>
        <w:rPr>
          <w:b/>
          <w:bCs/>
          <w:color w:val="5B3E96"/>
          <w:sz w:val="26"/>
          <w:szCs w:val="26"/>
        </w:rPr>
        <w:t xml:space="preserve">Page 1 — Tickets Analysis (Landing Page)</w:t>
      </w:r>
    </w:p>
    <w:p>
      <w:pPr>
        <w:spacing w:after="160" w:line="276"/>
      </w:pPr>
      <w:r>
        <w:rPr>
          <w:color w:val="222222"/>
          <w:sz w:val="22"/>
          <w:szCs w:val="22"/>
        </w:rPr>
        <w:t xml:space="preserve">The main analysis page gives a full operational snapshot:</w:t>
      </w:r>
    </w:p>
    <w:p>
      <w:pPr>
        <w:pStyle w:val="ListParagraph"/>
        <w:numPr>
          <w:ilvl w:val="0"/>
          <w:numId w:val="2"/>
        </w:numPr>
        <w:spacing w:after="90"/>
      </w:pPr>
      <w:r>
        <w:rPr>
          <w:color w:val="222222"/>
          <w:sz w:val="22"/>
          <w:szCs w:val="22"/>
        </w:rPr>
        <w:t xml:space="preserve">KPI strip: Total Tickets, Closed Tickets, Open Tickets, Closed %, Open % — an at-a-glance health check.</w:t>
      </w:r>
    </w:p>
    <w:p>
      <w:pPr>
        <w:pStyle w:val="ListParagraph"/>
        <w:numPr>
          <w:ilvl w:val="0"/>
          <w:numId w:val="2"/>
        </w:numPr>
        <w:spacing w:after="90"/>
      </w:pPr>
      <w:r>
        <w:rPr>
          <w:color w:val="222222"/>
          <w:sz w:val="22"/>
          <w:szCs w:val="22"/>
        </w:rPr>
        <w:t xml:space="preserve">Tickets by SLA Status (pie): share of tickets resolved within SLA vs. SLA breaches.</w:t>
      </w:r>
    </w:p>
    <w:p>
      <w:pPr>
        <w:pStyle w:val="ListParagraph"/>
        <w:numPr>
          <w:ilvl w:val="0"/>
          <w:numId w:val="2"/>
        </w:numPr>
        <w:spacing w:after="90"/>
      </w:pPr>
      <w:r>
        <w:rPr>
          <w:color w:val="222222"/>
          <w:sz w:val="22"/>
          <w:szCs w:val="22"/>
        </w:rPr>
        <w:t xml:space="preserve">Tickets by Category (bar): ticket volume by Hardware, Software, Network, and Security.</w:t>
      </w:r>
    </w:p>
    <w:p>
      <w:pPr>
        <w:pStyle w:val="ListParagraph"/>
        <w:numPr>
          <w:ilvl w:val="0"/>
          <w:numId w:val="2"/>
        </w:numPr>
        <w:spacing w:after="90"/>
      </w:pPr>
      <w:r>
        <w:rPr>
          <w:color w:val="222222"/>
          <w:sz w:val="22"/>
          <w:szCs w:val="22"/>
        </w:rPr>
        <w:t xml:space="preserve">Tickets by Assigned_To (clustered bar): total vs. open tickets per support agent — highlights workload and backlog by person.</w:t>
      </w:r>
    </w:p>
    <w:p>
      <w:pPr>
        <w:pStyle w:val="ListParagraph"/>
        <w:numPr>
          <w:ilvl w:val="0"/>
          <w:numId w:val="2"/>
        </w:numPr>
        <w:spacing w:after="90"/>
      </w:pPr>
      <w:r>
        <w:rPr>
          <w:color w:val="222222"/>
          <w:sz w:val="22"/>
          <w:szCs w:val="22"/>
        </w:rPr>
        <w:t xml:space="preserve">Tickets by Status (donut): overall open vs. closed split.</w:t>
      </w:r>
    </w:p>
    <w:p>
      <w:pPr>
        <w:pStyle w:val="ListParagraph"/>
        <w:numPr>
          <w:ilvl w:val="0"/>
          <w:numId w:val="2"/>
        </w:numPr>
        <w:spacing w:after="90"/>
      </w:pPr>
      <w:r>
        <w:rPr>
          <w:color w:val="222222"/>
          <w:sz w:val="22"/>
          <w:szCs w:val="22"/>
        </w:rPr>
        <w:t xml:space="preserve">Tickets Over Time (line): monthly ticket volume trend across the year, useful for spotting seasonal spikes.</w:t>
      </w:r>
    </w:p>
    <w:p>
      <w:pPr>
        <w:pStyle w:val="ListParagraph"/>
        <w:numPr>
          <w:ilvl w:val="0"/>
          <w:numId w:val="2"/>
        </w:numPr>
        <w:spacing w:after="90"/>
      </w:pPr>
      <w:r>
        <w:rPr>
          <w:color w:val="222222"/>
          <w:sz w:val="22"/>
          <w:szCs w:val="22"/>
        </w:rPr>
        <w:t xml:space="preserve">Slicer panel: filter the entire page by Status, Category, or Assigned_To.</w:t>
      </w:r>
    </w:p>
    <w:p>
      <w:pPr>
        <w:pStyle w:val="Heading2"/>
        <w:spacing w:after="150" w:before="300"/>
      </w:pPr>
      <w:r>
        <w:rPr>
          <w:b/>
          <w:bCs/>
          <w:color w:val="5B3E96"/>
          <w:sz w:val="26"/>
          <w:szCs w:val="26"/>
        </w:rPr>
        <w:t xml:space="preserve">Page 2 — Drill-Through: Tickets Details</w:t>
      </w:r>
    </w:p>
    <w:p>
      <w:pPr>
        <w:spacing w:after="160" w:line="276"/>
      </w:pPr>
      <w:r>
        <w:rPr>
          <w:color w:val="222222"/>
          <w:sz w:val="22"/>
          <w:szCs w:val="22"/>
        </w:rPr>
        <w:t xml:space="preserve">A dedicated drill-through page lets a user right-click (or click) any Category or Assigned_To value on the main page and jump straight into the underlying ticket-level records:</w:t>
      </w:r>
    </w:p>
    <w:p>
      <w:pPr>
        <w:pStyle w:val="ListParagraph"/>
        <w:numPr>
          <w:ilvl w:val="0"/>
          <w:numId w:val="2"/>
        </w:numPr>
        <w:spacing w:after="90"/>
      </w:pPr>
      <w:r>
        <w:rPr>
          <w:color w:val="222222"/>
          <w:sz w:val="22"/>
          <w:szCs w:val="22"/>
        </w:rPr>
        <w:t xml:space="preserve">Ticket Details by Assigned_To: every ticket for the selected agent, with Category, Status, Open Ticket Age, and Total Tickets.</w:t>
      </w:r>
    </w:p>
    <w:p>
      <w:pPr>
        <w:pStyle w:val="ListParagraph"/>
        <w:numPr>
          <w:ilvl w:val="0"/>
          <w:numId w:val="2"/>
        </w:numPr>
        <w:spacing w:after="90"/>
      </w:pPr>
      <w:r>
        <w:rPr>
          <w:color w:val="222222"/>
          <w:sz w:val="22"/>
          <w:szCs w:val="22"/>
        </w:rPr>
        <w:t xml:space="preserve">Tickets Details by Category: every ticket for the selected category, with the same level of row-level detail.</w:t>
      </w:r>
    </w:p>
    <w:p>
      <w:pPr>
        <w:pStyle w:val="ListParagraph"/>
        <w:numPr>
          <w:ilvl w:val="0"/>
          <w:numId w:val="2"/>
        </w:numPr>
        <w:spacing w:after="90"/>
      </w:pPr>
      <w:r>
        <w:rPr>
          <w:color w:val="222222"/>
          <w:sz w:val="22"/>
          <w:szCs w:val="22"/>
        </w:rPr>
        <w:t xml:space="preserve">A back button returns the user to the main analysis page, preserving a smooth navigation flow.</w:t>
      </w:r>
    </w:p>
    <w:p>
      <w:pPr>
        <w:spacing w:after="160" w:line="276"/>
      </w:pPr>
      <w:r>
        <w:rPr>
          <w:color w:val="222222"/>
          <w:sz w:val="22"/>
          <w:szCs w:val="22"/>
        </w:rPr>
        <w:t xml:space="preserve">This drill-through pattern demonstrates the ability to design multi-page, audit-ready dashboards rather than single flat reports — a key skill for real analyst roles where stakeholders need to move from "what happened" to "show me the tickets."</w:t>
      </w:r>
    </w:p>
    <w:p>
      <w:pPr>
        <w:pStyle w:val="Heading1"/>
        <w:spacing w:after="200" w:before="400"/>
      </w:pPr>
      <w:r>
        <w:rPr>
          <w:b/>
          <w:bCs/>
          <w:color w:val="2E1A47"/>
          <w:sz w:val="32"/>
          <w:szCs w:val="32"/>
        </w:rPr>
        <w:t xml:space="preserve">8. Key Insights</w:t>
      </w:r>
    </w:p>
    <w:p>
      <w:pPr>
        <w:spacing w:after="160" w:line="276"/>
      </w:pPr>
      <w:r>
        <w:rPr>
          <w:color w:val="222222"/>
          <w:sz w:val="22"/>
          <w:szCs w:val="22"/>
        </w:rPr>
        <w:t xml:space="preserve">Based on the current dataset (1,557 tickets):</w:t>
      </w:r>
    </w:p>
    <w:p>
      <w:pPr>
        <w:pStyle w:val="ListParagraph"/>
        <w:numPr>
          <w:ilvl w:val="0"/>
          <w:numId w:val="2"/>
        </w:numPr>
        <w:spacing w:after="90"/>
      </w:pPr>
      <w:r>
        <w:rPr>
          <w:b/>
          <w:bCs/>
          <w:color w:val="222222"/>
          <w:sz w:val="22"/>
          <w:szCs w:val="22"/>
        </w:rPr>
        <w:t xml:space="preserve">Overall health: </w:t>
      </w:r>
      <w:r>
        <w:rPr>
          <w:color w:val="222222"/>
          <w:sz w:val="22"/>
          <w:szCs w:val="22"/>
        </w:rPr>
        <w:t xml:space="preserve">1,380 tickets closed (88.6%) vs. 177 open (11.4%) — a healthy closure rate overall.</w:t>
      </w:r>
    </w:p>
    <w:p>
      <w:pPr>
        <w:pStyle w:val="ListParagraph"/>
        <w:numPr>
          <w:ilvl w:val="0"/>
          <w:numId w:val="2"/>
        </w:numPr>
        <w:spacing w:after="90"/>
      </w:pPr>
      <w:r>
        <w:rPr>
          <w:b/>
          <w:bCs/>
          <w:color w:val="222222"/>
          <w:sz w:val="22"/>
          <w:szCs w:val="22"/>
        </w:rPr>
        <w:t xml:space="preserve">SLA risk: </w:t>
      </w:r>
      <w:r>
        <w:rPr>
          <w:color w:val="222222"/>
          <w:sz w:val="22"/>
          <w:szCs w:val="22"/>
        </w:rPr>
        <w:t xml:space="preserve">The SLA Status split shows a large share of tickets breaching their resolution deadline, far outweighing tickets resolved within SLA — this is the single biggest opportunity area for the support team to address.</w:t>
      </w:r>
    </w:p>
    <w:p>
      <w:pPr>
        <w:pStyle w:val="ListParagraph"/>
        <w:numPr>
          <w:ilvl w:val="0"/>
          <w:numId w:val="2"/>
        </w:numPr>
        <w:spacing w:after="90"/>
      </w:pPr>
      <w:r>
        <w:rPr>
          <w:b/>
          <w:bCs/>
          <w:color w:val="222222"/>
          <w:sz w:val="22"/>
          <w:szCs w:val="22"/>
        </w:rPr>
        <w:t xml:space="preserve">Category load: </w:t>
      </w:r>
      <w:r>
        <w:rPr>
          <w:color w:val="222222"/>
          <w:sz w:val="22"/>
          <w:szCs w:val="22"/>
        </w:rPr>
        <w:t xml:space="preserve">Network issues are the top driver of ticket volume (636 tickets), followed by Security (419), with Hardware (252) and Software (250) roughly even and lowest.</w:t>
      </w:r>
    </w:p>
    <w:p>
      <w:pPr>
        <w:pStyle w:val="ListParagraph"/>
        <w:numPr>
          <w:ilvl w:val="0"/>
          <w:numId w:val="2"/>
        </w:numPr>
        <w:spacing w:after="90"/>
      </w:pPr>
      <w:r>
        <w:rPr>
          <w:b/>
          <w:bCs/>
          <w:color w:val="222222"/>
          <w:sz w:val="22"/>
          <w:szCs w:val="22"/>
        </w:rPr>
        <w:t xml:space="preserve">Workload distribution: </w:t>
      </w:r>
      <w:r>
        <w:rPr>
          <w:color w:val="222222"/>
          <w:sz w:val="22"/>
          <w:szCs w:val="22"/>
        </w:rPr>
        <w:t xml:space="preserve">Sarah Brown and Mike Johnson carry the largest ticket loads (331 and 330 respectively); David Wilson has a comparatively high number of open/backlogged tickets (40) relative to total volume, worth a closer look.</w:t>
      </w:r>
    </w:p>
    <w:p>
      <w:pPr>
        <w:pStyle w:val="ListParagraph"/>
        <w:numPr>
          <w:ilvl w:val="0"/>
          <w:numId w:val="2"/>
        </w:numPr>
        <w:spacing w:after="90"/>
      </w:pPr>
      <w:r>
        <w:rPr>
          <w:b/>
          <w:bCs/>
          <w:color w:val="222222"/>
          <w:sz w:val="22"/>
          <w:szCs w:val="22"/>
        </w:rPr>
        <w:t xml:space="preserve">Volume trend: </w:t>
      </w:r>
      <w:r>
        <w:rPr>
          <w:color w:val="222222"/>
          <w:sz w:val="22"/>
          <w:szCs w:val="22"/>
        </w:rPr>
        <w:t xml:space="preserve">Monthly ticket volume fluctuates through the year with a peak around March (~159 tickets) and a sharp dip in June (~101 tickets), suggesting a seasonal or event-driven pattern worth investigating further.</w:t>
      </w:r>
    </w:p>
    <w:p>
      <w:pPr>
        <w:pStyle w:val="Heading1"/>
        <w:spacing w:after="200" w:before="400"/>
      </w:pPr>
      <w:r>
        <w:rPr>
          <w:b/>
          <w:bCs/>
          <w:color w:val="2E1A47"/>
          <w:sz w:val="32"/>
          <w:szCs w:val="32"/>
        </w:rPr>
        <w:t xml:space="preserve">9. How to Use the Dashboard</w:t>
      </w:r>
    </w:p>
    <w:p>
      <w:pPr>
        <w:pStyle w:val="ListParagraph"/>
        <w:numPr>
          <w:ilvl w:val="0"/>
          <w:numId w:val="2"/>
        </w:numPr>
        <w:spacing w:after="90"/>
      </w:pPr>
      <w:r>
        <w:rPr>
          <w:color w:val="222222"/>
          <w:sz w:val="22"/>
          <w:szCs w:val="22"/>
        </w:rPr>
        <w:t xml:space="preserve">Use the slicers (Status, Category, Assigned_To) to filter every visual on the main page simultaneously.</w:t>
      </w:r>
    </w:p>
    <w:p>
      <w:pPr>
        <w:pStyle w:val="ListParagraph"/>
        <w:numPr>
          <w:ilvl w:val="0"/>
          <w:numId w:val="2"/>
        </w:numPr>
        <w:spacing w:after="90"/>
      </w:pPr>
      <w:r>
        <w:rPr>
          <w:color w:val="222222"/>
          <w:sz w:val="22"/>
          <w:szCs w:val="22"/>
        </w:rPr>
        <w:t xml:space="preserve">Hover over any chart for tooltip-level detail (exact counts, percentages).</w:t>
      </w:r>
    </w:p>
    <w:p>
      <w:pPr>
        <w:pStyle w:val="ListParagraph"/>
        <w:numPr>
          <w:ilvl w:val="0"/>
          <w:numId w:val="2"/>
        </w:numPr>
        <w:spacing w:after="90"/>
      </w:pPr>
      <w:r>
        <w:rPr>
          <w:color w:val="222222"/>
          <w:sz w:val="22"/>
          <w:szCs w:val="22"/>
        </w:rPr>
        <w:t xml:space="preserve">Click a bar in "Tickets by Category" or "Tickets by Assigned_To" and use the drill-through action to open the Ticket Details page for that specific slice.</w:t>
      </w:r>
    </w:p>
    <w:p>
      <w:pPr>
        <w:pStyle w:val="ListParagraph"/>
        <w:numPr>
          <w:ilvl w:val="0"/>
          <w:numId w:val="2"/>
        </w:numPr>
        <w:spacing w:after="90"/>
      </w:pPr>
      <w:r>
        <w:rPr>
          <w:color w:val="222222"/>
          <w:sz w:val="22"/>
          <w:szCs w:val="22"/>
        </w:rPr>
        <w:t xml:space="preserve">Use the back arrow on the drill-through page to return to the summary view.</w:t>
      </w:r>
    </w:p>
    <w:p>
      <w:pPr>
        <w:pStyle w:val="Heading1"/>
        <w:spacing w:after="200" w:before="400"/>
      </w:pPr>
      <w:r>
        <w:rPr>
          <w:b/>
          <w:bCs/>
          <w:color w:val="2E1A47"/>
          <w:sz w:val="32"/>
          <w:szCs w:val="32"/>
        </w:rPr>
        <w:t xml:space="preserve">10. Potential Enhancements</w:t>
      </w:r>
    </w:p>
    <w:p>
      <w:pPr>
        <w:pStyle w:val="ListParagraph"/>
        <w:numPr>
          <w:ilvl w:val="0"/>
          <w:numId w:val="2"/>
        </w:numPr>
        <w:spacing w:after="90"/>
      </w:pPr>
      <w:r>
        <w:rPr>
          <w:color w:val="222222"/>
          <w:sz w:val="22"/>
          <w:szCs w:val="22"/>
        </w:rPr>
        <w:t xml:space="preserve">Add a Resolution Time trend (average days-to-close) by month or by agent.</w:t>
      </w:r>
    </w:p>
    <w:p>
      <w:pPr>
        <w:pStyle w:val="ListParagraph"/>
        <w:numPr>
          <w:ilvl w:val="0"/>
          <w:numId w:val="2"/>
        </w:numPr>
        <w:spacing w:after="90"/>
      </w:pPr>
      <w:r>
        <w:rPr>
          <w:color w:val="222222"/>
          <w:sz w:val="22"/>
          <w:szCs w:val="22"/>
        </w:rPr>
        <w:t xml:space="preserve">Add a Top N Breached Tickets table sorted by days overdue, for immediate triage.</w:t>
      </w:r>
    </w:p>
    <w:p>
      <w:pPr>
        <w:pStyle w:val="ListParagraph"/>
        <w:numPr>
          <w:ilvl w:val="0"/>
          <w:numId w:val="2"/>
        </w:numPr>
        <w:spacing w:after="90"/>
      </w:pPr>
      <w:r>
        <w:rPr>
          <w:color w:val="222222"/>
          <w:sz w:val="22"/>
          <w:szCs w:val="22"/>
        </w:rPr>
        <w:t xml:space="preserve">Introduce a Priority field (High/Medium/Low) if available, to weight SLA analysis by severity.</w:t>
      </w:r>
    </w:p>
    <w:p>
      <w:pPr>
        <w:pStyle w:val="ListParagraph"/>
        <w:numPr>
          <w:ilvl w:val="0"/>
          <w:numId w:val="2"/>
        </w:numPr>
        <w:spacing w:after="90"/>
      </w:pPr>
      <w:r>
        <w:rPr>
          <w:color w:val="222222"/>
          <w:sz w:val="22"/>
          <w:szCs w:val="22"/>
        </w:rPr>
        <w:t xml:space="preserve">Publish to the Power BI Service and add a scheduled refresh if connected to a live ticketing system (e.g., Zendesk, ServiceNow, Jira Service Management).</w:t>
      </w:r>
    </w:p>
    <w:p>
      <w:pPr>
        <w:pStyle w:val="ListParagraph"/>
        <w:numPr>
          <w:ilvl w:val="0"/>
          <w:numId w:val="2"/>
        </w:numPr>
        <w:spacing w:after="90"/>
      </w:pPr>
      <w:r>
        <w:rPr>
          <w:color w:val="222222"/>
          <w:sz w:val="22"/>
          <w:szCs w:val="22"/>
        </w:rPr>
        <w:t xml:space="preserve">Add row-level security (RLS) so each agent only sees their own tickets, if this were used operationally.</w:t>
      </w:r>
    </w:p>
    <w:p>
      <w:pPr>
        <w:pStyle w:val="Heading1"/>
        <w:spacing w:after="200" w:before="400"/>
      </w:pPr>
      <w:r>
        <w:rPr>
          <w:b/>
          <w:bCs/>
          <w:color w:val="2E1A47"/>
          <w:sz w:val="32"/>
          <w:szCs w:val="32"/>
        </w:rPr>
        <w:t xml:space="preserve">11. Project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E1A47" w:val="clear"/>
            <w:tcMar>
              <w:top w:type="dxa" w:w="100"/>
              <w:left w:type="dxa" w:w="120"/>
              <w:bottom w:type="dxa" w:w="100"/>
              <w:right w:type="dxa" w:w="120"/>
            </w:tcMar>
          </w:tcPr>
          <w:p>
            <w:r>
              <w:rPr>
                <w:b/>
                <w:bCs/>
                <w:color w:val="FFFFFF"/>
                <w:sz w:val="20"/>
                <w:szCs w:val="20"/>
              </w:rPr>
              <w:t xml:space="preserve">File</w:t>
            </w:r>
          </w:p>
        </w:tc>
        <w:tc>
          <w:tcPr>
            <w:tcW w:type="dxa" w:w="5800"/>
            <w:shd w:fill="2E1A47" w:val="clear"/>
            <w:tcMar>
              <w:top w:type="dxa" w:w="100"/>
              <w:left w:type="dxa" w:w="120"/>
              <w:bottom w:type="dxa" w:w="100"/>
              <w:right w:type="dxa" w:w="120"/>
            </w:tcMar>
          </w:tcPr>
          <w:p>
            <w:r>
              <w:rPr>
                <w:b/>
                <w:bCs/>
                <w:color w:val="FFFFFF"/>
                <w:sz w:val="20"/>
                <w:szCs w:val="20"/>
              </w:rPr>
              <w:t xml:space="preserve">Description</w:t>
            </w:r>
          </w:p>
        </w:tc>
      </w:tr>
      <w:tr>
        <w:tc>
          <w:tcPr>
            <w:tcW w:type="dxa" w:w="3200"/>
            <w:shd w:fill="F2EEF9" w:val="clear"/>
            <w:tcMar>
              <w:top w:type="dxa" w:w="100"/>
              <w:left w:type="dxa" w:w="120"/>
              <w:bottom w:type="dxa" w:w="100"/>
              <w:right w:type="dxa" w:w="120"/>
            </w:tcMar>
          </w:tcPr>
          <w:p>
            <w:r>
              <w:rPr>
                <w:b w:val="false"/>
                <w:bCs w:val="false"/>
                <w:color w:val="222222"/>
                <w:sz w:val="20"/>
                <w:szCs w:val="20"/>
              </w:rPr>
              <w:t xml:space="preserve">ticketing_Dataset.csv</w:t>
            </w:r>
          </w:p>
        </w:tc>
        <w:tc>
          <w:tcPr>
            <w:tcW w:type="dxa" w:w="5800"/>
            <w:shd w:fill="F2EEF9" w:val="clear"/>
            <w:tcMar>
              <w:top w:type="dxa" w:w="100"/>
              <w:left w:type="dxa" w:w="120"/>
              <w:bottom w:type="dxa" w:w="100"/>
              <w:right w:type="dxa" w:w="120"/>
            </w:tcMar>
          </w:tcPr>
          <w:p>
            <w:r>
              <w:rPr>
                <w:b w:val="false"/>
                <w:bCs w:val="false"/>
                <w:color w:val="222222"/>
                <w:sz w:val="20"/>
                <w:szCs w:val="20"/>
              </w:rPr>
              <w:t xml:space="preserve">Source data (1,557 rows) used to build the model</w:t>
            </w:r>
          </w:p>
        </w:tc>
      </w:tr>
      <w:tr>
        <w:tc>
          <w:tcPr>
            <w:tcW w:type="dxa" w:w="3200"/>
            <w:shd w:fill="FFFFFF" w:val="clear"/>
            <w:tcMar>
              <w:top w:type="dxa" w:w="100"/>
              <w:left w:type="dxa" w:w="120"/>
              <w:bottom w:type="dxa" w:w="100"/>
              <w:right w:type="dxa" w:w="120"/>
            </w:tcMar>
          </w:tcPr>
          <w:p>
            <w:r>
              <w:rPr>
                <w:b w:val="false"/>
                <w:bCs w:val="false"/>
                <w:color w:val="222222"/>
                <w:sz w:val="20"/>
                <w:szCs w:val="20"/>
              </w:rPr>
              <w:t xml:space="preserve">Support_Tickets_Dashboard.pbix</w:t>
            </w:r>
          </w:p>
        </w:tc>
        <w:tc>
          <w:tcPr>
            <w:tcW w:type="dxa" w:w="5800"/>
            <w:shd w:fill="FFFFFF" w:val="clear"/>
            <w:tcMar>
              <w:top w:type="dxa" w:w="100"/>
              <w:left w:type="dxa" w:w="120"/>
              <w:bottom w:type="dxa" w:w="100"/>
              <w:right w:type="dxa" w:w="120"/>
            </w:tcMar>
          </w:tcPr>
          <w:p>
            <w:r>
              <w:rPr>
                <w:b w:val="false"/>
                <w:bCs w:val="false"/>
                <w:color w:val="222222"/>
                <w:sz w:val="20"/>
                <w:szCs w:val="20"/>
              </w:rPr>
              <w:t xml:space="preserve">Power BI report file containing the data model, DAX measures, and both report pages</w:t>
            </w:r>
          </w:p>
        </w:tc>
      </w:tr>
      <w:tr>
        <w:tc>
          <w:tcPr>
            <w:tcW w:type="dxa" w:w="3200"/>
            <w:shd w:fill="F2EEF9" w:val="clear"/>
            <w:tcMar>
              <w:top w:type="dxa" w:w="100"/>
              <w:left w:type="dxa" w:w="120"/>
              <w:bottom w:type="dxa" w:w="100"/>
              <w:right w:type="dxa" w:w="120"/>
            </w:tcMar>
          </w:tcPr>
          <w:p>
            <w:r>
              <w:rPr>
                <w:b w:val="false"/>
                <w:bCs w:val="false"/>
                <w:color w:val="222222"/>
                <w:sz w:val="20"/>
                <w:szCs w:val="20"/>
              </w:rPr>
              <w:t xml:space="preserve">Project Documentation (this file)</w:t>
            </w:r>
          </w:p>
        </w:tc>
        <w:tc>
          <w:tcPr>
            <w:tcW w:type="dxa" w:w="5800"/>
            <w:shd w:fill="F2EEF9" w:val="clear"/>
            <w:tcMar>
              <w:top w:type="dxa" w:w="100"/>
              <w:left w:type="dxa" w:w="120"/>
              <w:bottom w:type="dxa" w:w="100"/>
              <w:right w:type="dxa" w:w="120"/>
            </w:tcMar>
          </w:tcPr>
          <w:p>
            <w:r>
              <w:rPr>
                <w:b w:val="false"/>
                <w:bCs w:val="false"/>
                <w:color w:val="222222"/>
                <w:sz w:val="20"/>
                <w:szCs w:val="20"/>
              </w:rPr>
              <w:t xml:space="preserve">Overview, methodology, and insights for portfolio presentation</w:t>
            </w:r>
          </w:p>
        </w:tc>
      </w:tr>
    </w:tbl>
    <w:p>
      <w:pPr>
        <w:pStyle w:val="Heading1"/>
        <w:spacing w:after="200" w:before="400"/>
      </w:pPr>
      <w:r>
        <w:rPr>
          <w:b/>
          <w:bCs/>
          <w:color w:val="2E1A47"/>
          <w:sz w:val="32"/>
          <w:szCs w:val="32"/>
        </w:rPr>
        <w:t xml:space="preserve">12. Suggested Dashboard Names</w:t>
      </w:r>
    </w:p>
    <w:p>
      <w:pPr>
        <w:spacing w:after="160" w:line="276"/>
      </w:pPr>
      <w:r>
        <w:rPr>
          <w:color w:val="222222"/>
          <w:sz w:val="22"/>
          <w:szCs w:val="22"/>
        </w:rPr>
        <w:t xml:space="preserve">A few naming options considered for this project, ranked by how well they communicate business value to a portfolio reviewer:</w:t>
      </w:r>
    </w:p>
    <w:p>
      <w:pPr>
        <w:pStyle w:val="ListParagraph"/>
        <w:numPr>
          <w:ilvl w:val="0"/>
          <w:numId w:val="2"/>
        </w:numPr>
        <w:spacing w:after="90"/>
      </w:pPr>
      <w:r>
        <w:rPr>
          <w:b/>
          <w:bCs/>
          <w:color w:val="222222"/>
          <w:sz w:val="22"/>
          <w:szCs w:val="22"/>
        </w:rPr>
        <w:t xml:space="preserve">SLA Compliance &amp; Ticket Resolution Dashboard — </w:t>
      </w:r>
      <w:r>
        <w:rPr>
          <w:color w:val="222222"/>
          <w:sz w:val="22"/>
          <w:szCs w:val="22"/>
        </w:rPr>
        <w:t xml:space="preserve">recommended. Leads with the business metric (SLA) hiring managers scan for.</w:t>
      </w:r>
    </w:p>
    <w:p>
      <w:pPr>
        <w:pStyle w:val="ListParagraph"/>
        <w:numPr>
          <w:ilvl w:val="0"/>
          <w:numId w:val="2"/>
        </w:numPr>
        <w:spacing w:after="90"/>
      </w:pPr>
      <w:r>
        <w:rPr>
          <w:b/>
          <w:bCs/>
          <w:color w:val="222222"/>
          <w:sz w:val="22"/>
          <w:szCs w:val="22"/>
        </w:rPr>
        <w:t xml:space="preserve">IT Helpdesk Performance Tracker — </w:t>
      </w:r>
      <w:r>
        <w:rPr>
          <w:color w:val="222222"/>
          <w:sz w:val="22"/>
          <w:szCs w:val="22"/>
        </w:rPr>
        <w:t xml:space="preserve">clean, functional, and easy to search/find.</w:t>
      </w:r>
    </w:p>
    <w:p>
      <w:pPr>
        <w:pStyle w:val="ListParagraph"/>
        <w:numPr>
          <w:ilvl w:val="0"/>
          <w:numId w:val="2"/>
        </w:numPr>
        <w:spacing w:after="90"/>
      </w:pPr>
      <w:r>
        <w:rPr>
          <w:b/>
          <w:bCs/>
          <w:color w:val="222222"/>
          <w:sz w:val="22"/>
          <w:szCs w:val="22"/>
        </w:rPr>
        <w:t xml:space="preserve">TicketPulse: Support Operations Dashboard — </w:t>
      </w:r>
      <w:r>
        <w:rPr>
          <w:color w:val="222222"/>
          <w:sz w:val="22"/>
          <w:szCs w:val="22"/>
        </w:rPr>
        <w:t xml:space="preserve">more brand-like, good if presenting as a product concept.</w:t>
      </w:r>
    </w:p>
    <w:p>
      <w:pPr>
        <w:pStyle w:val="ListParagraph"/>
        <w:numPr>
          <w:ilvl w:val="0"/>
          <w:numId w:val="2"/>
        </w:numPr>
        <w:spacing w:after="90"/>
      </w:pPr>
      <w:r>
        <w:rPr>
          <w:b/>
          <w:bCs/>
          <w:color w:val="222222"/>
          <w:sz w:val="22"/>
          <w:szCs w:val="22"/>
        </w:rPr>
        <w:t xml:space="preserve">Helpdesk Analytics: Ticket Lifecycle &amp; SLA Insights — </w:t>
      </w:r>
      <w:r>
        <w:rPr>
          <w:color w:val="222222"/>
          <w:sz w:val="22"/>
          <w:szCs w:val="22"/>
        </w:rPr>
        <w:t xml:space="preserve">descriptive, strong for a portfolio website or resume bullet.</w:t>
      </w:r>
    </w:p>
    <w:p>
      <w:pPr>
        <w:pStyle w:val="ListParagraph"/>
        <w:numPr>
          <w:ilvl w:val="0"/>
          <w:numId w:val="2"/>
        </w:numPr>
        <w:spacing w:after="90"/>
      </w:pPr>
      <w:r>
        <w:rPr>
          <w:b/>
          <w:bCs/>
          <w:color w:val="222222"/>
          <w:sz w:val="22"/>
          <w:szCs w:val="22"/>
        </w:rPr>
        <w:t xml:space="preserve">Support Ops Command Center — </w:t>
      </w:r>
      <w:r>
        <w:rPr>
          <w:color w:val="222222"/>
          <w:sz w:val="22"/>
          <w:szCs w:val="22"/>
        </w:rPr>
        <w:t xml:space="preserve">enterprise, executive-facing tone.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2026-09-13T04:09:32.160Z</dcterms:created>
  <dcterms:modified xsi:type="dcterms:W3CDTF">2026-09-13T04:09:32.179Z</dcterms:modified>
</cp:coreProperties>
</file>

<file path=docProps/custom.xml><?xml version="1.0" encoding="utf-8"?>
<Properties xmlns="http://schemas.openxmlformats.org/officeDocument/2006/custom-properties" xmlns:vt="http://schemas.openxmlformats.org/officeDocument/2006/docPropsVTypes"/>
</file>