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D78A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 xml:space="preserve">LEYDESDORFF ET AL. (2016) </w:t>
      </w:r>
      <w:r w:rsidRPr="00C16581">
        <w:rPr>
          <w:b/>
          <w:bCs/>
          <w:i/>
          <w:iCs/>
        </w:rPr>
        <w:t>“Citations: Indicators of Quality? The Impact Fallacy”</w:t>
      </w:r>
      <w:r w:rsidRPr="00C16581">
        <w:rPr>
          <w:b/>
          <w:bCs/>
        </w:rPr>
        <w:t xml:space="preserve"> — STRUCTURED SYNTHESIS</w:t>
      </w:r>
    </w:p>
    <w:p w14:paraId="0EDDB9D4" w14:textId="77777777" w:rsidR="00C16581" w:rsidRPr="00C16581" w:rsidRDefault="00C16581" w:rsidP="00C16581">
      <w:r w:rsidRPr="00C16581">
        <w:pict w14:anchorId="20A073F8">
          <v:rect id="_x0000_i1067" style="width:0;height:1.5pt" o:hralign="center" o:hrstd="t" o:hr="t" fillcolor="#a0a0a0" stroked="f"/>
        </w:pict>
      </w:r>
    </w:p>
    <w:p w14:paraId="6B2EB4AF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1. DEFINITELY INCLUDE</w:t>
      </w:r>
    </w:p>
    <w:p w14:paraId="79D68007" w14:textId="77777777" w:rsidR="00C16581" w:rsidRPr="00C16581" w:rsidRDefault="00C16581" w:rsidP="00C16581">
      <w:r w:rsidRPr="00C16581">
        <w:rPr>
          <w:b/>
          <w:bCs/>
        </w:rPr>
        <w:t>Core Problem Statement</w:t>
      </w:r>
    </w:p>
    <w:p w14:paraId="34FA8075" w14:textId="77777777" w:rsidR="00C16581" w:rsidRPr="00C16581" w:rsidRDefault="00C16581" w:rsidP="00C16581">
      <w:pPr>
        <w:numPr>
          <w:ilvl w:val="0"/>
          <w:numId w:val="1"/>
        </w:numPr>
      </w:pPr>
      <w:r w:rsidRPr="00C16581">
        <w:t xml:space="preserve">Standard scientometric indicators (e.g. Journal Impact Factor, raw citations) conflate </w:t>
      </w:r>
      <w:r w:rsidRPr="00C16581">
        <w:rPr>
          <w:i/>
          <w:iCs/>
        </w:rPr>
        <w:t>impact</w:t>
      </w:r>
      <w:r w:rsidRPr="00C16581">
        <w:t xml:space="preserve"> with </w:t>
      </w:r>
      <w:r w:rsidRPr="00C16581">
        <w:rPr>
          <w:i/>
          <w:iCs/>
        </w:rPr>
        <w:t>epistemic quality</w:t>
      </w:r>
      <w:r w:rsidRPr="00C16581">
        <w:t xml:space="preserve"> [p.1–2].</w:t>
      </w:r>
    </w:p>
    <w:p w14:paraId="091EE259" w14:textId="77777777" w:rsidR="00C16581" w:rsidRPr="00C16581" w:rsidRDefault="00C16581" w:rsidP="00C16581">
      <w:pPr>
        <w:numPr>
          <w:ilvl w:val="0"/>
          <w:numId w:val="1"/>
        </w:numPr>
      </w:pPr>
      <w:r w:rsidRPr="00C16581">
        <w:t>“Impact” originates from physics (Garfield &amp; Sher 1963), capturing frequency of citation “collisions,” not intellectual depth [p.2].</w:t>
      </w:r>
    </w:p>
    <w:p w14:paraId="00DE1BA5" w14:textId="77777777" w:rsidR="00C16581" w:rsidRPr="00C16581" w:rsidRDefault="00C16581" w:rsidP="00C16581">
      <w:pPr>
        <w:numPr>
          <w:ilvl w:val="0"/>
          <w:numId w:val="1"/>
        </w:numPr>
      </w:pPr>
      <w:r w:rsidRPr="00C16581">
        <w:t xml:space="preserve">Citations function in </w:t>
      </w:r>
      <w:r w:rsidRPr="00C16581">
        <w:rPr>
          <w:i/>
          <w:iCs/>
        </w:rPr>
        <w:t>two temporal modes</w:t>
      </w:r>
      <w:r w:rsidRPr="00C16581">
        <w:t>:</w:t>
      </w:r>
    </w:p>
    <w:p w14:paraId="63D73BF7" w14:textId="77777777" w:rsidR="00C16581" w:rsidRPr="00C16581" w:rsidRDefault="00C16581" w:rsidP="00C16581">
      <w:pPr>
        <w:numPr>
          <w:ilvl w:val="1"/>
          <w:numId w:val="1"/>
        </w:numPr>
      </w:pPr>
      <w:r w:rsidRPr="00C16581">
        <w:rPr>
          <w:b/>
          <w:bCs/>
        </w:rPr>
        <w:t>Short-term</w:t>
      </w:r>
      <w:r w:rsidRPr="00C16581">
        <w:t xml:space="preserve"> (“currency”): Recent papers citing recent papers show participation at the research front, visibility, and engagement [p.11].</w:t>
      </w:r>
    </w:p>
    <w:p w14:paraId="53246752" w14:textId="77777777" w:rsidR="00C16581" w:rsidRPr="00C16581" w:rsidRDefault="00C16581" w:rsidP="00C16581">
      <w:pPr>
        <w:numPr>
          <w:ilvl w:val="1"/>
          <w:numId w:val="1"/>
        </w:numPr>
      </w:pPr>
      <w:r w:rsidRPr="00C16581">
        <w:rPr>
          <w:b/>
          <w:bCs/>
        </w:rPr>
        <w:t>Long-term</w:t>
      </w:r>
      <w:r w:rsidRPr="00C16581">
        <w:t xml:space="preserve"> (“codification”): Citations persisting across decades indicate incorporation into disciplinary foundations and lasting quality [p.11–12].</w:t>
      </w:r>
    </w:p>
    <w:p w14:paraId="369C8C02" w14:textId="77777777" w:rsidR="00C16581" w:rsidRPr="00C16581" w:rsidRDefault="00C16581" w:rsidP="00C16581">
      <w:pPr>
        <w:numPr>
          <w:ilvl w:val="0"/>
          <w:numId w:val="1"/>
        </w:numPr>
      </w:pPr>
      <w:r w:rsidRPr="00C16581">
        <w:t xml:space="preserve">Thus, citations are </w:t>
      </w:r>
      <w:r w:rsidRPr="00C16581">
        <w:rPr>
          <w:b/>
          <w:bCs/>
        </w:rPr>
        <w:t>composite indicators</w:t>
      </w:r>
      <w:r w:rsidRPr="00C16581">
        <w:t>, mixing transient recognition with durable epistemic contribution [p.1, 11].</w:t>
      </w:r>
    </w:p>
    <w:p w14:paraId="2EB3ECB0" w14:textId="77777777" w:rsidR="00C16581" w:rsidRPr="00C16581" w:rsidRDefault="00C16581" w:rsidP="00C16581">
      <w:r w:rsidRPr="00C16581">
        <w:rPr>
          <w:b/>
          <w:bCs/>
        </w:rPr>
        <w:t>Empirical Cases</w:t>
      </w:r>
    </w:p>
    <w:p w14:paraId="478BEC1C" w14:textId="77777777" w:rsidR="00C16581" w:rsidRPr="00C16581" w:rsidRDefault="00C16581" w:rsidP="00C16581">
      <w:pPr>
        <w:numPr>
          <w:ilvl w:val="0"/>
          <w:numId w:val="2"/>
        </w:numPr>
      </w:pPr>
      <w:r w:rsidRPr="00C16581">
        <w:rPr>
          <w:i/>
          <w:iCs/>
        </w:rPr>
        <w:t>Soziale Welt</w:t>
      </w:r>
      <w:r w:rsidRPr="00C16581">
        <w:t>: low citation counts due to linguistic/disciplinary boundaries, yet still academically valued [p.3–5].</w:t>
      </w:r>
    </w:p>
    <w:p w14:paraId="5DEDD5A5" w14:textId="77777777" w:rsidR="00C16581" w:rsidRPr="00C16581" w:rsidRDefault="00C16581" w:rsidP="00C16581">
      <w:pPr>
        <w:numPr>
          <w:ilvl w:val="0"/>
          <w:numId w:val="2"/>
        </w:numPr>
      </w:pPr>
      <w:r w:rsidRPr="00C16581">
        <w:rPr>
          <w:i/>
          <w:iCs/>
        </w:rPr>
        <w:t>Merton</w:t>
      </w:r>
      <w:r w:rsidRPr="00C16581">
        <w:t>: example of lasting concepts (“obliteration by incorporation”) where foundational contributions become embedded [p.7–9].</w:t>
      </w:r>
    </w:p>
    <w:p w14:paraId="082A153A" w14:textId="77777777" w:rsidR="00C16581" w:rsidRPr="00C16581" w:rsidRDefault="00C16581" w:rsidP="00C16581">
      <w:pPr>
        <w:numPr>
          <w:ilvl w:val="0"/>
          <w:numId w:val="2"/>
        </w:numPr>
      </w:pPr>
      <w:r w:rsidRPr="00C16581">
        <w:rPr>
          <w:i/>
          <w:iCs/>
        </w:rPr>
        <w:t>Multi-RPYS</w:t>
      </w:r>
      <w:r w:rsidRPr="00C16581">
        <w:t>: analytical method distinguishing citation “currency” from codification dynamics [p.9–12].</w:t>
      </w:r>
    </w:p>
    <w:p w14:paraId="517D1654" w14:textId="77777777" w:rsidR="00C16581" w:rsidRPr="00C16581" w:rsidRDefault="00C16581" w:rsidP="00C16581">
      <w:r w:rsidRPr="00C16581">
        <w:rPr>
          <w:b/>
          <w:bCs/>
        </w:rPr>
        <w:t>Key Finding</w:t>
      </w:r>
    </w:p>
    <w:p w14:paraId="46CE8090" w14:textId="77777777" w:rsidR="00C16581" w:rsidRPr="00C16581" w:rsidRDefault="00C16581" w:rsidP="00C16581">
      <w:pPr>
        <w:numPr>
          <w:ilvl w:val="0"/>
          <w:numId w:val="3"/>
        </w:numPr>
      </w:pPr>
      <w:r w:rsidRPr="00C16581">
        <w:t>Short-term citation impact ≠ quality.</w:t>
      </w:r>
    </w:p>
    <w:p w14:paraId="7B26EB4D" w14:textId="77777777" w:rsidR="00C16581" w:rsidRPr="00C16581" w:rsidRDefault="00C16581" w:rsidP="00C16581">
      <w:pPr>
        <w:numPr>
          <w:ilvl w:val="0"/>
          <w:numId w:val="3"/>
        </w:numPr>
      </w:pPr>
      <w:r w:rsidRPr="00C16581">
        <w:t>Long-term persistence better approximates epistemic significance.</w:t>
      </w:r>
    </w:p>
    <w:p w14:paraId="1F1DE4C2" w14:textId="77777777" w:rsidR="00C16581" w:rsidRPr="00C16581" w:rsidRDefault="00C16581" w:rsidP="00C16581">
      <w:pPr>
        <w:numPr>
          <w:ilvl w:val="0"/>
          <w:numId w:val="3"/>
        </w:numPr>
      </w:pPr>
      <w:r w:rsidRPr="00C16581">
        <w:t>Evaluation policies privileging impact indicators risk biasing research systems toward transient work [p.12].</w:t>
      </w:r>
    </w:p>
    <w:p w14:paraId="58DD9CA6" w14:textId="77777777" w:rsidR="00C16581" w:rsidRPr="00C16581" w:rsidRDefault="00C16581" w:rsidP="00C16581">
      <w:r w:rsidRPr="00C16581">
        <w:pict w14:anchorId="468DC23E">
          <v:rect id="_x0000_i1068" style="width:0;height:1.5pt" o:hralign="center" o:hrstd="t" o:hr="t" fillcolor="#a0a0a0" stroked="f"/>
        </w:pict>
      </w:r>
    </w:p>
    <w:p w14:paraId="48CF72A8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2. POTENTIALLY INCLUDE</w:t>
      </w:r>
    </w:p>
    <w:p w14:paraId="596E7584" w14:textId="77777777" w:rsidR="00C16581" w:rsidRPr="00C16581" w:rsidRDefault="00C16581" w:rsidP="00C16581">
      <w:pPr>
        <w:numPr>
          <w:ilvl w:val="0"/>
          <w:numId w:val="4"/>
        </w:numPr>
      </w:pPr>
      <w:r w:rsidRPr="00C16581">
        <w:rPr>
          <w:b/>
          <w:bCs/>
        </w:rPr>
        <w:t>Asymmetry of citation direction:</w:t>
      </w:r>
      <w:r w:rsidRPr="00C16581">
        <w:t xml:space="preserve"> Journals can be central in citing but peripheral in being cited (German vs international asymmetry, Fig.1, p.3).</w:t>
      </w:r>
    </w:p>
    <w:p w14:paraId="7D9F24A9" w14:textId="77777777" w:rsidR="00C16581" w:rsidRPr="00C16581" w:rsidRDefault="00C16581" w:rsidP="00C16581">
      <w:pPr>
        <w:numPr>
          <w:ilvl w:val="0"/>
          <w:numId w:val="4"/>
        </w:numPr>
      </w:pPr>
      <w:r w:rsidRPr="00C16581">
        <w:rPr>
          <w:b/>
          <w:bCs/>
        </w:rPr>
        <w:t>Half-life patterns:</w:t>
      </w:r>
      <w:r w:rsidRPr="00C16581">
        <w:t xml:space="preserve"> Many journals have long citing half-lives (&gt;10 years, Table 1) [p.4].</w:t>
      </w:r>
    </w:p>
    <w:p w14:paraId="5D4E742F" w14:textId="77777777" w:rsidR="00C16581" w:rsidRPr="00C16581" w:rsidRDefault="00C16581" w:rsidP="00C16581">
      <w:pPr>
        <w:numPr>
          <w:ilvl w:val="0"/>
          <w:numId w:val="4"/>
        </w:numPr>
      </w:pPr>
      <w:r w:rsidRPr="00C16581">
        <w:rPr>
          <w:b/>
          <w:bCs/>
        </w:rPr>
        <w:t>Sticky vs transitory claims:</w:t>
      </w:r>
      <w:r w:rsidRPr="00C16581">
        <w:t xml:space="preserve"> Distinction operationalised via group-based trajectory models [p.7].</w:t>
      </w:r>
    </w:p>
    <w:p w14:paraId="25CC149B" w14:textId="77777777" w:rsidR="00C16581" w:rsidRPr="00C16581" w:rsidRDefault="00C16581" w:rsidP="00C16581">
      <w:pPr>
        <w:numPr>
          <w:ilvl w:val="0"/>
          <w:numId w:val="4"/>
        </w:numPr>
      </w:pPr>
      <w:r w:rsidRPr="00C16581">
        <w:rPr>
          <w:b/>
          <w:bCs/>
        </w:rPr>
        <w:lastRenderedPageBreak/>
        <w:t>Citations as concept symbols:</w:t>
      </w:r>
      <w:r w:rsidRPr="00C16581">
        <w:t xml:space="preserve"> Following Small (1978), citations signify codified knowledge [p.7].</w:t>
      </w:r>
    </w:p>
    <w:p w14:paraId="213F3682" w14:textId="77777777" w:rsidR="00C16581" w:rsidRPr="00C16581" w:rsidRDefault="00C16581" w:rsidP="00C16581">
      <w:pPr>
        <w:numPr>
          <w:ilvl w:val="0"/>
          <w:numId w:val="4"/>
        </w:numPr>
      </w:pPr>
      <w:r w:rsidRPr="00C16581">
        <w:rPr>
          <w:b/>
          <w:bCs/>
        </w:rPr>
        <w:t>Evaluation critique:</w:t>
      </w:r>
      <w:r w:rsidRPr="00C16581">
        <w:t xml:space="preserve"> Reliance on JIF’s two-year window selects for research fronts [p.12].</w:t>
      </w:r>
    </w:p>
    <w:p w14:paraId="111AD58C" w14:textId="77777777" w:rsidR="00C16581" w:rsidRPr="00C16581" w:rsidRDefault="00C16581" w:rsidP="00C16581">
      <w:r w:rsidRPr="00C16581">
        <w:pict w14:anchorId="4761937F">
          <v:rect id="_x0000_i1069" style="width:0;height:1.5pt" o:hralign="center" o:hrstd="t" o:hr="t" fillcolor="#a0a0a0" stroked="f"/>
        </w:pict>
      </w:r>
    </w:p>
    <w:p w14:paraId="4D7F17CD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3. DEFINITELY OMIT</w:t>
      </w:r>
    </w:p>
    <w:p w14:paraId="1FC0F94D" w14:textId="77777777" w:rsidR="00C16581" w:rsidRPr="00C16581" w:rsidRDefault="00C16581" w:rsidP="00C16581">
      <w:pPr>
        <w:numPr>
          <w:ilvl w:val="0"/>
          <w:numId w:val="5"/>
        </w:numPr>
      </w:pPr>
      <w:r w:rsidRPr="00C16581">
        <w:t>Detailed RPYS/Multi-RPYS algorithm and visualization [p.9–12].</w:t>
      </w:r>
    </w:p>
    <w:p w14:paraId="4928D30B" w14:textId="77777777" w:rsidR="00C16581" w:rsidRPr="00C16581" w:rsidRDefault="00C16581" w:rsidP="00C16581">
      <w:pPr>
        <w:numPr>
          <w:ilvl w:val="0"/>
          <w:numId w:val="5"/>
        </w:numPr>
      </w:pPr>
      <w:r w:rsidRPr="00C16581">
        <w:t>Extensive citation trajectory plots for specific journals (Figs. 4–6) [p.5–7].</w:t>
      </w:r>
    </w:p>
    <w:p w14:paraId="3E351F31" w14:textId="77777777" w:rsidR="00C16581" w:rsidRPr="00C16581" w:rsidRDefault="00C16581" w:rsidP="00C16581">
      <w:pPr>
        <w:numPr>
          <w:ilvl w:val="0"/>
          <w:numId w:val="5"/>
        </w:numPr>
      </w:pPr>
      <w:r w:rsidRPr="00C16581">
        <w:t>Technicalities of field normalisation and classification boundaries [p.2–3].</w:t>
      </w:r>
    </w:p>
    <w:p w14:paraId="16FA7E9C" w14:textId="77777777" w:rsidR="00C16581" w:rsidRPr="00C16581" w:rsidRDefault="00C16581" w:rsidP="00C16581">
      <w:pPr>
        <w:numPr>
          <w:ilvl w:val="0"/>
          <w:numId w:val="5"/>
        </w:numPr>
      </w:pPr>
      <w:r w:rsidRPr="00C16581">
        <w:t>Full bibliographic listings and CRExplorer tool documentation [p.13–14].</w:t>
      </w:r>
    </w:p>
    <w:p w14:paraId="22D7D80D" w14:textId="77777777" w:rsidR="00C16581" w:rsidRPr="00C16581" w:rsidRDefault="00C16581" w:rsidP="00C16581">
      <w:r w:rsidRPr="00C16581">
        <w:pict w14:anchorId="05645A37">
          <v:rect id="_x0000_i1070" style="width:0;height:1.5pt" o:hralign="center" o:hrstd="t" o:hr="t" fillcolor="#a0a0a0" stroked="f"/>
        </w:pict>
      </w:r>
    </w:p>
    <w:p w14:paraId="4D883919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4. NEW CONTENT NEEDED</w:t>
      </w:r>
    </w:p>
    <w:p w14:paraId="7E034DC5" w14:textId="77777777" w:rsidR="00C16581" w:rsidRPr="00C16581" w:rsidRDefault="00C16581" w:rsidP="00C16581">
      <w:r w:rsidRPr="00C16581">
        <w:rPr>
          <w:b/>
          <w:bCs/>
        </w:rPr>
        <w:t>Extension to DAGs</w:t>
      </w:r>
    </w:p>
    <w:p w14:paraId="5FCB68AA" w14:textId="77777777" w:rsidR="00C16581" w:rsidRPr="00C16581" w:rsidRDefault="00C16581" w:rsidP="00C16581">
      <w:pPr>
        <w:numPr>
          <w:ilvl w:val="0"/>
          <w:numId w:val="6"/>
        </w:numPr>
      </w:pPr>
      <w:r w:rsidRPr="00C16581">
        <w:t xml:space="preserve">Citation networks are </w:t>
      </w:r>
      <w:r w:rsidRPr="00C16581">
        <w:rPr>
          <w:i/>
          <w:iCs/>
        </w:rPr>
        <w:t>directed acyclic graphs</w:t>
      </w:r>
      <w:r w:rsidRPr="00C16581">
        <w:t>. Paper acknowledges directional asymmetry but does not formalise within DAG framework.</w:t>
      </w:r>
    </w:p>
    <w:p w14:paraId="197B2364" w14:textId="77777777" w:rsidR="00C16581" w:rsidRPr="00C16581" w:rsidRDefault="00C16581" w:rsidP="00C16581">
      <w:pPr>
        <w:numPr>
          <w:ilvl w:val="0"/>
          <w:numId w:val="6"/>
        </w:numPr>
      </w:pPr>
      <w:r w:rsidRPr="00C16581">
        <w:t xml:space="preserve">Short-term vs long-term citations could correspond to </w:t>
      </w:r>
      <w:r w:rsidRPr="00C16581">
        <w:rPr>
          <w:b/>
          <w:bCs/>
        </w:rPr>
        <w:t>temporal edge weights</w:t>
      </w:r>
      <w:r w:rsidRPr="00C16581">
        <w:t xml:space="preserve"> in DAGs:</w:t>
      </w:r>
    </w:p>
    <w:p w14:paraId="240980CE" w14:textId="77777777" w:rsidR="00C16581" w:rsidRPr="00C16581" w:rsidRDefault="00C16581" w:rsidP="00C16581">
      <w:pPr>
        <w:numPr>
          <w:ilvl w:val="1"/>
          <w:numId w:val="6"/>
        </w:numPr>
      </w:pPr>
      <w:r w:rsidRPr="00C16581">
        <w:rPr>
          <w:i/>
          <w:iCs/>
        </w:rPr>
        <w:t>Currency nodes</w:t>
      </w:r>
      <w:r w:rsidRPr="00C16581">
        <w:t>: highly active edges concentrated in short windows.</w:t>
      </w:r>
    </w:p>
    <w:p w14:paraId="1B9F31A2" w14:textId="77777777" w:rsidR="00C16581" w:rsidRPr="00C16581" w:rsidRDefault="00C16581" w:rsidP="00C16581">
      <w:pPr>
        <w:numPr>
          <w:ilvl w:val="1"/>
          <w:numId w:val="6"/>
        </w:numPr>
      </w:pPr>
      <w:r w:rsidRPr="00C16581">
        <w:rPr>
          <w:i/>
          <w:iCs/>
        </w:rPr>
        <w:t>Codification nodes</w:t>
      </w:r>
      <w:r w:rsidRPr="00C16581">
        <w:t>: edges spanning long temporal horizons.</w:t>
      </w:r>
    </w:p>
    <w:p w14:paraId="453FE2AD" w14:textId="77777777" w:rsidR="00C16581" w:rsidRPr="00C16581" w:rsidRDefault="00C16581" w:rsidP="00C16581">
      <w:pPr>
        <w:numPr>
          <w:ilvl w:val="0"/>
          <w:numId w:val="6"/>
        </w:numPr>
      </w:pPr>
      <w:r w:rsidRPr="00C16581">
        <w:t xml:space="preserve">Integration point: Evans (2025) centrality project notes emphasise defining measures that </w:t>
      </w:r>
      <w:r w:rsidRPr="00C16581">
        <w:rPr>
          <w:i/>
          <w:iCs/>
        </w:rPr>
        <w:t>respect order in DAGs</w:t>
      </w:r>
    </w:p>
    <w:p w14:paraId="3EE7E3FC" w14:textId="77777777" w:rsidR="00C16581" w:rsidRPr="00C16581" w:rsidRDefault="00C16581" w:rsidP="00C16581">
      <w:r w:rsidRPr="00C16581">
        <w:t>NetworksOrderCentrality-MSciPro…</w:t>
      </w:r>
    </w:p>
    <w:p w14:paraId="61220BEB" w14:textId="77777777" w:rsidR="00C16581" w:rsidRPr="00C16581" w:rsidRDefault="00C16581" w:rsidP="00C16581">
      <w:r w:rsidRPr="00C16581">
        <w:t>. Leydesdorff’s persistence distinction could be reformulated as a DAG-aware centrality weighting.</w:t>
      </w:r>
    </w:p>
    <w:p w14:paraId="72301A3F" w14:textId="77777777" w:rsidR="00C16581" w:rsidRPr="00C16581" w:rsidRDefault="00C16581" w:rsidP="00C16581">
      <w:pPr>
        <w:numPr>
          <w:ilvl w:val="0"/>
          <w:numId w:val="6"/>
        </w:numPr>
      </w:pPr>
      <w:r w:rsidRPr="00C16581">
        <w:t xml:space="preserve">Methodological bridge: Multi-RPYS (age-distribution of references) could inspire DAG-based weighting schemes to distinguish </w:t>
      </w:r>
      <w:r w:rsidRPr="00C16581">
        <w:rPr>
          <w:i/>
          <w:iCs/>
        </w:rPr>
        <w:t>transitory vs foundational influence</w:t>
      </w:r>
      <w:r w:rsidRPr="00C16581">
        <w:t>.</w:t>
      </w:r>
    </w:p>
    <w:p w14:paraId="3A6BE7F6" w14:textId="77777777" w:rsidR="00C16581" w:rsidRPr="00C16581" w:rsidRDefault="00C16581" w:rsidP="00C16581">
      <w:r w:rsidRPr="00C16581">
        <w:pict w14:anchorId="75E592BF">
          <v:rect id="_x0000_i1071" style="width:0;height:1.5pt" o:hralign="center" o:hrstd="t" o:hr="t" fillcolor="#a0a0a0" stroked="f"/>
        </w:pict>
      </w:r>
    </w:p>
    <w:p w14:paraId="58AE929F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5. INCONSISTENCIES / MISTAKES</w:t>
      </w:r>
    </w:p>
    <w:p w14:paraId="3C3BB7D3" w14:textId="77777777" w:rsidR="00C16581" w:rsidRPr="00C16581" w:rsidRDefault="00C16581" w:rsidP="00C16581">
      <w:r w:rsidRPr="00C16581">
        <w:rPr>
          <w:b/>
          <w:bCs/>
        </w:rPr>
        <w:t>From Your Notes</w:t>
      </w:r>
      <w:r w:rsidRPr="00C16581">
        <w:br/>
        <w:t xml:space="preserve">✓ Correct: short-term vs long-term distinction; </w:t>
      </w:r>
      <w:r w:rsidRPr="00C16581">
        <w:rPr>
          <w:i/>
          <w:iCs/>
        </w:rPr>
        <w:t>Soziale Welt</w:t>
      </w:r>
      <w:r w:rsidRPr="00C16581">
        <w:t xml:space="preserve"> as counterexample to impact=quality; Merton as durable influence.</w:t>
      </w:r>
      <w:r w:rsidRPr="00C16581">
        <w:br/>
      </w:r>
      <w:r w:rsidRPr="00C16581">
        <w:rPr>
          <w:rFonts w:ascii="Segoe UI Symbol" w:hAnsi="Segoe UI Symbol" w:cs="Segoe UI Symbol"/>
        </w:rPr>
        <w:t>⚠</w:t>
      </w:r>
      <w:r w:rsidRPr="00C16581">
        <w:t xml:space="preserve"> Clarify:</w:t>
      </w:r>
    </w:p>
    <w:p w14:paraId="5A08003A" w14:textId="77777777" w:rsidR="00C16581" w:rsidRPr="00C16581" w:rsidRDefault="00C16581" w:rsidP="00C16581">
      <w:pPr>
        <w:numPr>
          <w:ilvl w:val="0"/>
          <w:numId w:val="7"/>
        </w:numPr>
      </w:pPr>
      <w:r w:rsidRPr="00C16581">
        <w:t xml:space="preserve">German asymmetry concerns </w:t>
      </w:r>
      <w:r w:rsidRPr="00C16581">
        <w:rPr>
          <w:i/>
          <w:iCs/>
        </w:rPr>
        <w:t>cited vs citing</w:t>
      </w:r>
      <w:r w:rsidRPr="00C16581">
        <w:t xml:space="preserve"> imbalance, not quality per se [Fig.1, p.3].</w:t>
      </w:r>
    </w:p>
    <w:p w14:paraId="7FFDA475" w14:textId="77777777" w:rsidR="00C16581" w:rsidRPr="00C16581" w:rsidRDefault="00C16581" w:rsidP="00C16581">
      <w:pPr>
        <w:numPr>
          <w:ilvl w:val="0"/>
          <w:numId w:val="7"/>
        </w:numPr>
      </w:pPr>
      <w:r w:rsidRPr="00C16581">
        <w:t xml:space="preserve">RPYS = </w:t>
      </w:r>
      <w:r w:rsidRPr="00C16581">
        <w:rPr>
          <w:i/>
          <w:iCs/>
        </w:rPr>
        <w:t>Referenced Publication Year Spectroscopy</w:t>
      </w:r>
      <w:r w:rsidRPr="00C16581">
        <w:t xml:space="preserve"> (“Y” = Year) [p.9].</w:t>
      </w:r>
    </w:p>
    <w:p w14:paraId="409B1237" w14:textId="77777777" w:rsidR="00C16581" w:rsidRPr="00C16581" w:rsidRDefault="00C16581" w:rsidP="00C16581">
      <w:pPr>
        <w:numPr>
          <w:ilvl w:val="0"/>
          <w:numId w:val="7"/>
        </w:numPr>
      </w:pPr>
      <w:r w:rsidRPr="00C16581">
        <w:lastRenderedPageBreak/>
        <w:t xml:space="preserve">Paper does not equate long-term citations </w:t>
      </w:r>
      <w:r w:rsidRPr="00C16581">
        <w:rPr>
          <w:i/>
          <w:iCs/>
        </w:rPr>
        <w:t>directly</w:t>
      </w:r>
      <w:r w:rsidRPr="00C16581">
        <w:t xml:space="preserve"> with higher quality, but with codification (different function than currency).</w:t>
      </w:r>
    </w:p>
    <w:p w14:paraId="1816AF9C" w14:textId="77777777" w:rsidR="00C16581" w:rsidRPr="00C16581" w:rsidRDefault="00C16581" w:rsidP="00C16581">
      <w:r w:rsidRPr="00C16581">
        <w:pict w14:anchorId="033B8E05">
          <v:rect id="_x0000_i1072" style="width:0;height:1.5pt" o:hralign="center" o:hrstd="t" o:hr="t" fillcolor="#a0a0a0" stroked="f"/>
        </w:pict>
      </w:r>
    </w:p>
    <w:p w14:paraId="395BAF2A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6. CRITICAL PAPER TO READ</w:t>
      </w:r>
    </w:p>
    <w:p w14:paraId="0D5BC0A4" w14:textId="77777777" w:rsidR="00C16581" w:rsidRPr="00C16581" w:rsidRDefault="00C16581" w:rsidP="00C16581">
      <w:pPr>
        <w:numPr>
          <w:ilvl w:val="0"/>
          <w:numId w:val="8"/>
        </w:numPr>
      </w:pPr>
      <w:r w:rsidRPr="00C16581">
        <w:rPr>
          <w:b/>
          <w:bCs/>
        </w:rPr>
        <w:t>Small (1978):</w:t>
      </w:r>
      <w:r w:rsidRPr="00C16581">
        <w:t xml:space="preserve"> </w:t>
      </w:r>
      <w:r w:rsidRPr="00C16581">
        <w:rPr>
          <w:i/>
          <w:iCs/>
        </w:rPr>
        <w:t>“Citations as concept symbols”</w:t>
      </w:r>
      <w:r w:rsidRPr="00C16581">
        <w:t xml:space="preserve"> — theoretical anchor for Leydesdorff’s codification argument.</w:t>
      </w:r>
    </w:p>
    <w:p w14:paraId="13FA1A04" w14:textId="77777777" w:rsidR="00C16581" w:rsidRPr="00C16581" w:rsidRDefault="00C16581" w:rsidP="00C16581">
      <w:r w:rsidRPr="00C16581">
        <w:pict w14:anchorId="1EC40732">
          <v:rect id="_x0000_i1073" style="width:0;height:1.5pt" o:hralign="center" o:hrstd="t" o:hr="t" fillcolor="#a0a0a0" stroked="f"/>
        </w:pict>
      </w:r>
    </w:p>
    <w:p w14:paraId="7CC4B509" w14:textId="77777777" w:rsidR="00C16581" w:rsidRPr="00C16581" w:rsidRDefault="00C16581" w:rsidP="00C16581">
      <w:pPr>
        <w:rPr>
          <w:b/>
          <w:bCs/>
        </w:rPr>
      </w:pPr>
      <w:r w:rsidRPr="00C16581">
        <w:rPr>
          <w:b/>
          <w:bCs/>
        </w:rPr>
        <w:t>7. INTEGRATION WITH EXISTING SYNTHESES</w:t>
      </w:r>
    </w:p>
    <w:p w14:paraId="21621335" w14:textId="77777777" w:rsidR="00C16581" w:rsidRPr="00C16581" w:rsidRDefault="00C16581" w:rsidP="00C16581">
      <w:pPr>
        <w:numPr>
          <w:ilvl w:val="0"/>
          <w:numId w:val="9"/>
        </w:numPr>
      </w:pPr>
      <w:r w:rsidRPr="00C16581">
        <w:rPr>
          <w:b/>
          <w:bCs/>
        </w:rPr>
        <w:t>Landherr et al. (2010):</w:t>
      </w:r>
      <w:r w:rsidRPr="00C16581">
        <w:t xml:space="preserve"> Concerned with structural validity of centrality measures; Leydesdorff critiques </w:t>
      </w:r>
      <w:r w:rsidRPr="00C16581">
        <w:rPr>
          <w:i/>
          <w:iCs/>
        </w:rPr>
        <w:t>temporal misuse of impact metrics</w:t>
      </w:r>
      <w:r w:rsidRPr="00C16581">
        <w:t>. Both highlight that widely-used indicators fail to capture underlying epistemic significance.</w:t>
      </w:r>
    </w:p>
    <w:p w14:paraId="4A879253" w14:textId="77777777" w:rsidR="00C16581" w:rsidRPr="00C16581" w:rsidRDefault="00C16581" w:rsidP="00C16581">
      <w:pPr>
        <w:numPr>
          <w:ilvl w:val="0"/>
          <w:numId w:val="9"/>
        </w:numPr>
      </w:pPr>
      <w:r w:rsidRPr="00C16581">
        <w:rPr>
          <w:b/>
          <w:bCs/>
        </w:rPr>
        <w:t>Evans (2025) Networks &amp; Centrality Project</w:t>
      </w:r>
      <w:r w:rsidRPr="00C16581">
        <w:t>: Emphasises DAG-specific adaptation of centrality. Leydesdorff’s short- vs long-term split aligns with the need for DAG measures sensitive to temporal order.</w:t>
      </w:r>
    </w:p>
    <w:p w14:paraId="4E054B39" w14:textId="77777777" w:rsidR="00C16581" w:rsidRPr="00C16581" w:rsidRDefault="00C16581" w:rsidP="00C16581">
      <w:pPr>
        <w:numPr>
          <w:ilvl w:val="0"/>
          <w:numId w:val="9"/>
        </w:numPr>
      </w:pPr>
      <w:r w:rsidRPr="00C16581">
        <w:t xml:space="preserve">Combined implication: A valid DAG centrality framework must distinguish </w:t>
      </w:r>
      <w:r w:rsidRPr="00C16581">
        <w:rPr>
          <w:b/>
          <w:bCs/>
        </w:rPr>
        <w:t>transient popularity</w:t>
      </w:r>
      <w:r w:rsidRPr="00C16581">
        <w:t xml:space="preserve"> from </w:t>
      </w:r>
      <w:r w:rsidRPr="00C16581">
        <w:rPr>
          <w:b/>
          <w:bCs/>
        </w:rPr>
        <w:t>persistent codification</w:t>
      </w:r>
      <w:r w:rsidRPr="00C16581">
        <w:t>, embedding Leydesdorff’s epistemic vs currency citation modes into order-respecting metrics.</w:t>
      </w:r>
    </w:p>
    <w:p w14:paraId="7E61CB86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2C6"/>
    <w:multiLevelType w:val="multilevel"/>
    <w:tmpl w:val="407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5BE7"/>
    <w:multiLevelType w:val="multilevel"/>
    <w:tmpl w:val="D01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3B3B"/>
    <w:multiLevelType w:val="multilevel"/>
    <w:tmpl w:val="ECE0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866CC"/>
    <w:multiLevelType w:val="multilevel"/>
    <w:tmpl w:val="C87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C4A10"/>
    <w:multiLevelType w:val="multilevel"/>
    <w:tmpl w:val="F58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D49E3"/>
    <w:multiLevelType w:val="multilevel"/>
    <w:tmpl w:val="83C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07039"/>
    <w:multiLevelType w:val="multilevel"/>
    <w:tmpl w:val="383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3396A"/>
    <w:multiLevelType w:val="multilevel"/>
    <w:tmpl w:val="A4B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C79B2"/>
    <w:multiLevelType w:val="multilevel"/>
    <w:tmpl w:val="E9E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77135">
    <w:abstractNumId w:val="0"/>
  </w:num>
  <w:num w:numId="2" w16cid:durableId="1329937842">
    <w:abstractNumId w:val="2"/>
  </w:num>
  <w:num w:numId="3" w16cid:durableId="1956710727">
    <w:abstractNumId w:val="5"/>
  </w:num>
  <w:num w:numId="4" w16cid:durableId="1856646557">
    <w:abstractNumId w:val="3"/>
  </w:num>
  <w:num w:numId="5" w16cid:durableId="1022706216">
    <w:abstractNumId w:val="4"/>
  </w:num>
  <w:num w:numId="6" w16cid:durableId="1724478364">
    <w:abstractNumId w:val="6"/>
  </w:num>
  <w:num w:numId="7" w16cid:durableId="2102336009">
    <w:abstractNumId w:val="8"/>
  </w:num>
  <w:num w:numId="8" w16cid:durableId="77140073">
    <w:abstractNumId w:val="1"/>
  </w:num>
  <w:num w:numId="9" w16cid:durableId="259874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00"/>
    <w:rsid w:val="00092134"/>
    <w:rsid w:val="001E4A47"/>
    <w:rsid w:val="003E2D3A"/>
    <w:rsid w:val="00650431"/>
    <w:rsid w:val="006C2474"/>
    <w:rsid w:val="00750073"/>
    <w:rsid w:val="00AA5714"/>
    <w:rsid w:val="00C16581"/>
    <w:rsid w:val="00C93F00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E2C6F-707B-4A17-BBCC-9201E609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2025-10-04T15:24:00Z</dcterms:created>
  <dcterms:modified xsi:type="dcterms:W3CDTF">2025-10-04T15:24:00Z</dcterms:modified>
</cp:coreProperties>
</file>