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8DAF2" w14:textId="5DA8E3F5" w:rsidR="00D357CA" w:rsidRPr="000C1A47" w:rsidRDefault="00D357CA" w:rsidP="00D357CA">
      <w:r w:rsidRPr="000C1A47">
        <w:rPr>
          <w:b/>
          <w:bCs/>
        </w:rPr>
        <w:t>UPDATED UNIFIED LITERATURE REVIEW PLAN</w:t>
      </w:r>
      <w:r w:rsidR="00FE21A2">
        <w:rPr>
          <w:b/>
          <w:bCs/>
        </w:rPr>
        <w:br/>
      </w:r>
      <w:r w:rsidR="00FE21A2">
        <w:rPr>
          <w:b/>
          <w:bCs/>
        </w:rPr>
        <w:br/>
      </w:r>
      <w:r w:rsidR="00FE21A2" w:rsidRPr="00FE21A2">
        <w:rPr>
          <w:u w:val="single"/>
        </w:rPr>
        <w:t>section 2</w:t>
      </w:r>
    </w:p>
    <w:p w14:paraId="1A0A6E29" w14:textId="5966375B" w:rsidR="00E73D57" w:rsidRPr="00E73D57" w:rsidRDefault="00E73D57" w:rsidP="00E73D57">
      <w:r w:rsidRPr="00E73D57">
        <w:t>Research suggests that scholars gravitate toward familiar topics, despite evidence that combining conventional foundations with unusual research combinations yields the highest likelihood of high-impact discover</w:t>
      </w:r>
      <w:r w:rsidR="001F53F9">
        <w:t>ies</w:t>
      </w:r>
      <w:r w:rsidR="003F63D4">
        <w:t>, and in turn, innovation</w:t>
      </w:r>
      <w:r w:rsidR="007107AA">
        <w:t>s</w:t>
      </w:r>
      <w:r>
        <w:t xml:space="preserve"> </w:t>
      </w:r>
      <w:r w:rsidR="000E24F7">
        <w:rPr>
          <w:highlight w:val="yellow"/>
        </w:rPr>
        <w:t>[</w:t>
      </w:r>
      <w:r w:rsidR="00673B56">
        <w:rPr>
          <w:highlight w:val="yellow"/>
        </w:rPr>
        <w:t xml:space="preserve">Sci </w:t>
      </w:r>
      <w:proofErr w:type="spellStart"/>
      <w:r w:rsidR="00673B56">
        <w:rPr>
          <w:highlight w:val="yellow"/>
        </w:rPr>
        <w:t>Sci</w:t>
      </w:r>
      <w:proofErr w:type="spellEnd"/>
      <w:r w:rsidR="00673B56">
        <w:rPr>
          <w:highlight w:val="yellow"/>
        </w:rPr>
        <w:t xml:space="preserve"> </w:t>
      </w:r>
      <w:r w:rsidR="001B0260">
        <w:rPr>
          <w:highlight w:val="yellow"/>
        </w:rPr>
        <w:t xml:space="preserve">= </w:t>
      </w:r>
      <w:r w:rsidRPr="00E73D57">
        <w:rPr>
          <w:highlight w:val="yellow"/>
        </w:rPr>
        <w:t>1</w:t>
      </w:r>
      <w:r w:rsidR="000E24F7">
        <w:t>]</w:t>
      </w:r>
      <w:r w:rsidRPr="00E73D57">
        <w:t>. Understanding how knowledge accumulates is therefore fundamental to optimizing an empirically suboptimal innovation process, constrained by many factors, including the above example of individual</w:t>
      </w:r>
      <w:r w:rsidR="00A84149">
        <w:t>-</w:t>
      </w:r>
      <w:r w:rsidRPr="00E73D57">
        <w:t>career ris</w:t>
      </w:r>
      <w:r w:rsidR="00A84149">
        <w:t>k-</w:t>
      </w:r>
      <w:r w:rsidRPr="00E73D57">
        <w:t>aversion. With the expansion of global citation databases and the adoption of data-driven methods from network science and computational modelling, it has become increasingly feasible to analyse the structure and evolution of science quantitatively using citation networks</w:t>
      </w:r>
      <w:r>
        <w:t xml:space="preserve"> </w:t>
      </w:r>
      <w:r w:rsidR="0072491E">
        <w:rPr>
          <w:highlight w:val="yellow"/>
        </w:rPr>
        <w:t>[</w:t>
      </w:r>
      <w:r w:rsidR="00673B56">
        <w:rPr>
          <w:highlight w:val="yellow"/>
        </w:rPr>
        <w:t>1</w:t>
      </w:r>
      <w:r w:rsidR="0072491E">
        <w:t>]</w:t>
      </w:r>
      <w:r w:rsidRPr="00E73D57">
        <w:t>. Each scientific output, whether an academic paper, patent, or clinical trial, records in its bibliography the prior work upon which it builds</w:t>
      </w:r>
      <w:r>
        <w:t xml:space="preserve"> </w:t>
      </w:r>
      <w:r w:rsidR="0072491E">
        <w:rPr>
          <w:highlight w:val="yellow"/>
        </w:rPr>
        <w:t>[</w:t>
      </w:r>
      <w:r w:rsidR="00673B56">
        <w:rPr>
          <w:highlight w:val="yellow"/>
        </w:rPr>
        <w:t xml:space="preserve">2 </w:t>
      </w:r>
      <w:r w:rsidR="001B0260">
        <w:rPr>
          <w:highlight w:val="yellow"/>
        </w:rPr>
        <w:t xml:space="preserve">= </w:t>
      </w:r>
      <w:r w:rsidR="00673B56">
        <w:rPr>
          <w:highlight w:val="yellow"/>
        </w:rPr>
        <w:t>Evans</w:t>
      </w:r>
      <w:r w:rsidR="0072491E">
        <w:t>]</w:t>
      </w:r>
      <w:r w:rsidRPr="00E73D57">
        <w:t xml:space="preserve">. Linking these references forms a </w:t>
      </w:r>
      <w:r w:rsidRPr="00E73D57">
        <w:rPr>
          <w:b/>
          <w:bCs/>
        </w:rPr>
        <w:t>citation network</w:t>
      </w:r>
      <w:r w:rsidRPr="00E73D57">
        <w:t xml:space="preserve">, where each document is represented as a node and each citation from a newer to an older document </w:t>
      </w:r>
      <w:r w:rsidR="00F87718">
        <w:t>is represented as a</w:t>
      </w:r>
      <w:r w:rsidRPr="00E73D57">
        <w:t xml:space="preserve"> directed edge pointing backward in time.</w:t>
      </w:r>
    </w:p>
    <w:p w14:paraId="58167FF8" w14:textId="7057FE1B" w:rsidR="00045A37" w:rsidRDefault="0042198E" w:rsidP="003615A1">
      <w:r w:rsidRPr="0042198E">
        <w:t>In ideal form (after resolving temporal inconsistencies in real data</w:t>
      </w:r>
      <w:r w:rsidR="001B0260">
        <w:t xml:space="preserve">) </w:t>
      </w:r>
      <w:r w:rsidRPr="0042198E">
        <w:t xml:space="preserve">citations reference only earlier work, creating no feedback cycles due to this temporal constraint. This topological property makes citation networks </w:t>
      </w:r>
      <w:r w:rsidRPr="0042198E">
        <w:rPr>
          <w:b/>
          <w:bCs/>
        </w:rPr>
        <w:t>directed acyclic graphs (DAGs)</w:t>
      </w:r>
      <w:r w:rsidRPr="0042198E">
        <w:t xml:space="preserve">, which have useful properties for </w:t>
      </w:r>
      <w:r w:rsidRPr="0042198E">
        <w:t>analysing</w:t>
      </w:r>
      <w:r w:rsidRPr="0042198E">
        <w:t xml:space="preserve"> innovation. Unlike cyclic graphs where paths can loop indefinitely, the longest path between any two connected nodes in a DAG is always finite and well-defined, tracing a clear chronological chain of influence</w:t>
      </w:r>
      <w:r w:rsidR="00673B56">
        <w:t xml:space="preserve"> </w:t>
      </w:r>
      <w:r w:rsidR="006B4893">
        <w:rPr>
          <w:highlight w:val="yellow"/>
        </w:rPr>
        <w:t>[</w:t>
      </w:r>
      <w:r w:rsidR="00673B56">
        <w:rPr>
          <w:highlight w:val="yellow"/>
        </w:rPr>
        <w:t xml:space="preserve"> 3</w:t>
      </w:r>
      <w:r w:rsidR="001B0260">
        <w:rPr>
          <w:highlight w:val="yellow"/>
        </w:rPr>
        <w:t xml:space="preserve"> =</w:t>
      </w:r>
      <w:r w:rsidR="00673B56" w:rsidRPr="00673B56">
        <w:rPr>
          <w:highlight w:val="yellow"/>
        </w:rPr>
        <w:t xml:space="preserve"> </w:t>
      </w:r>
      <w:proofErr w:type="spellStart"/>
      <w:r w:rsidR="00673B56" w:rsidRPr="00673B56">
        <w:rPr>
          <w:highlight w:val="yellow"/>
        </w:rPr>
        <w:t>Vasiliauskaite</w:t>
      </w:r>
      <w:proofErr w:type="spellEnd"/>
      <w:r w:rsidR="00673B56" w:rsidRPr="00673B56">
        <w:rPr>
          <w:highlight w:val="yellow"/>
        </w:rPr>
        <w:t xml:space="preserve"> 2020]</w:t>
      </w:r>
      <w:r w:rsidRPr="0042198E">
        <w:t xml:space="preserve">. </w:t>
      </w:r>
      <w:r>
        <w:t>T</w:t>
      </w:r>
      <w:r w:rsidRPr="0042198E">
        <w:t>his enables path analysis methods to identify critical innovation trajectories, impossible in cyclic graphs</w:t>
      </w:r>
      <w:r>
        <w:t>.</w:t>
      </w:r>
      <w:r w:rsidR="00A84149">
        <w:br/>
      </w:r>
      <w:r>
        <w:br/>
      </w:r>
      <w:r w:rsidR="00692BBA" w:rsidRPr="00692BBA">
        <w:t xml:space="preserve">Two fundamental questions emerge when </w:t>
      </w:r>
      <w:r w:rsidR="00692BBA" w:rsidRPr="00692BBA">
        <w:t>analysing</w:t>
      </w:r>
      <w:r w:rsidR="00692BBA" w:rsidRPr="00692BBA">
        <w:t xml:space="preserve"> innovation through citation networks: Which paths trace major technological trajectories, and which </w:t>
      </w:r>
      <w:r w:rsidR="00C2228B">
        <w:t xml:space="preserve">individual </w:t>
      </w:r>
      <w:r w:rsidR="00692BBA" w:rsidRPr="00692BBA">
        <w:t>nodes play the most influential roles?</w:t>
      </w:r>
      <w:r w:rsidR="00027CF4">
        <w:br/>
      </w:r>
      <w:r w:rsidR="00692BBA">
        <w:br/>
      </w:r>
      <w:r w:rsidR="003615A1" w:rsidRPr="003615A1">
        <w:t>This review establishes foundations for analysing citation networks as directed acyclic graphs. Following the mathematical background in Section 1, Section 2 examines methods for identifying critical paths. Section 3 reviews centrality measures</w:t>
      </w:r>
      <w:r w:rsidR="002A2586">
        <w:t xml:space="preserve"> (</w:t>
      </w:r>
      <w:r w:rsidR="003615A1" w:rsidRPr="003615A1">
        <w:t>standard metrics for quantifying node importance</w:t>
      </w:r>
      <w:r w:rsidR="002A2586">
        <w:t xml:space="preserve">) </w:t>
      </w:r>
      <w:r w:rsidR="003615A1" w:rsidRPr="003615A1">
        <w:t xml:space="preserve">and examines challenges adapting them to DAGs, where temporal ordering constraints differ fundamentally from the undirected networks on which most centrality theory </w:t>
      </w:r>
      <w:r w:rsidR="00094A2E">
        <w:t xml:space="preserve">is </w:t>
      </w:r>
      <w:r w:rsidR="003615A1" w:rsidRPr="003615A1">
        <w:t xml:space="preserve">developed. </w:t>
      </w:r>
    </w:p>
    <w:p w14:paraId="7BAE3B42" w14:textId="6BD8E168" w:rsidR="00E47A4B" w:rsidRPr="00E47A4B" w:rsidRDefault="004D0119" w:rsidP="00E47A4B">
      <w:r>
        <w:br/>
      </w:r>
      <w:r w:rsidRPr="00FE21A2">
        <w:rPr>
          <w:u w:val="single"/>
        </w:rPr>
        <w:t>Section 1: Mathematical Background</w:t>
      </w:r>
      <w:r w:rsidR="00027CF4">
        <w:br/>
      </w:r>
      <w:r>
        <w:br/>
      </w:r>
      <w:r w:rsidR="00E47A4B" w:rsidRPr="00E47A4B">
        <w:t>A graph G = (V, E) consists of a vertex set V and an edge set E [</w:t>
      </w:r>
      <w:r w:rsidR="005715BF" w:rsidRPr="005715BF">
        <w:rPr>
          <w:highlight w:val="yellow"/>
        </w:rPr>
        <w:t xml:space="preserve">4= </w:t>
      </w:r>
      <w:r w:rsidR="00E47A4B" w:rsidRPr="005715BF">
        <w:rPr>
          <w:highlight w:val="yellow"/>
        </w:rPr>
        <w:t>Clough 2017</w:t>
      </w:r>
      <w:r w:rsidR="00E47A4B" w:rsidRPr="00E47A4B">
        <w:t>]. In directed graphs, edges are ordered pairs; (</w:t>
      </w:r>
      <w:proofErr w:type="spellStart"/>
      <w:r w:rsidR="00E47A4B" w:rsidRPr="00E47A4B">
        <w:t>u,v</w:t>
      </w:r>
      <w:proofErr w:type="spellEnd"/>
      <w:r w:rsidR="00E47A4B" w:rsidRPr="00E47A4B">
        <w:t>) ≠ (</w:t>
      </w:r>
      <w:proofErr w:type="spellStart"/>
      <w:r w:rsidR="00E47A4B" w:rsidRPr="00E47A4B">
        <w:t>v,u</w:t>
      </w:r>
      <w:proofErr w:type="spellEnd"/>
      <w:r w:rsidR="00E47A4B" w:rsidRPr="00E47A4B">
        <w:t>). In undirected graphs, edges are unordered; (</w:t>
      </w:r>
      <w:proofErr w:type="spellStart"/>
      <w:r w:rsidR="00E47A4B" w:rsidRPr="00E47A4B">
        <w:t>u,v</w:t>
      </w:r>
      <w:proofErr w:type="spellEnd"/>
      <w:r w:rsidR="00E47A4B" w:rsidRPr="00E47A4B">
        <w:t>) = (</w:t>
      </w:r>
      <w:proofErr w:type="spellStart"/>
      <w:r w:rsidR="00E47A4B" w:rsidRPr="00E47A4B">
        <w:t>v,u</w:t>
      </w:r>
      <w:proofErr w:type="spellEnd"/>
      <w:r w:rsidR="00E47A4B" w:rsidRPr="00E47A4B">
        <w:t>). A simple graph contains no self-loops, that is, for all (</w:t>
      </w:r>
      <w:proofErr w:type="spellStart"/>
      <w:r w:rsidR="00E47A4B" w:rsidRPr="00E47A4B">
        <w:t>u,v</w:t>
      </w:r>
      <w:proofErr w:type="spellEnd"/>
      <w:r w:rsidR="00E47A4B" w:rsidRPr="00E47A4B">
        <w:t xml:space="preserve">) </w:t>
      </w:r>
      <w:r w:rsidR="00E47A4B" w:rsidRPr="00E47A4B">
        <w:rPr>
          <w:rFonts w:ascii="Cambria Math" w:hAnsi="Cambria Math" w:cs="Cambria Math"/>
        </w:rPr>
        <w:t>∈</w:t>
      </w:r>
      <w:r w:rsidR="00E47A4B" w:rsidRPr="00E47A4B">
        <w:t xml:space="preserve"> E, u </w:t>
      </w:r>
      <w:r w:rsidR="00E47A4B" w:rsidRPr="00E47A4B">
        <w:rPr>
          <w:rFonts w:ascii="Aptos" w:hAnsi="Aptos" w:cs="Aptos"/>
        </w:rPr>
        <w:t>≠</w:t>
      </w:r>
      <w:r w:rsidR="00E47A4B" w:rsidRPr="00E47A4B">
        <w:t xml:space="preserve"> v and at most one edge between any pair of vertices.</w:t>
      </w:r>
    </w:p>
    <w:p w14:paraId="6624470A" w14:textId="12D77513" w:rsidR="00E47A4B" w:rsidRPr="00E47A4B" w:rsidRDefault="00E47A4B" w:rsidP="00E47A4B">
      <w:r w:rsidRPr="00E47A4B">
        <w:t xml:space="preserve">If vertices u, v </w:t>
      </w:r>
      <w:r w:rsidRPr="00E47A4B">
        <w:rPr>
          <w:rFonts w:ascii="Cambria Math" w:hAnsi="Cambria Math" w:cs="Cambria Math"/>
        </w:rPr>
        <w:t>∈</w:t>
      </w:r>
      <w:r w:rsidRPr="00E47A4B">
        <w:t xml:space="preserve"> V are connected by an edge, they are called </w:t>
      </w:r>
      <w:r w:rsidRPr="00E47A4B">
        <w:rPr>
          <w:b/>
          <w:bCs/>
        </w:rPr>
        <w:t>neighbours</w:t>
      </w:r>
      <w:r w:rsidRPr="00E47A4B">
        <w:t xml:space="preserve"> or </w:t>
      </w:r>
      <w:r w:rsidRPr="00E47A4B">
        <w:rPr>
          <w:b/>
          <w:bCs/>
        </w:rPr>
        <w:t>adjacent vertices</w:t>
      </w:r>
      <w:r w:rsidRPr="00E47A4B">
        <w:t xml:space="preserve">. The </w:t>
      </w:r>
      <w:r w:rsidRPr="00E47A4B">
        <w:rPr>
          <w:b/>
          <w:bCs/>
        </w:rPr>
        <w:t>neighbourhood</w:t>
      </w:r>
      <w:r w:rsidRPr="00E47A4B">
        <w:t xml:space="preserve"> of a vertex v </w:t>
      </w:r>
      <w:r w:rsidRPr="00E47A4B">
        <w:rPr>
          <w:rFonts w:ascii="Cambria Math" w:hAnsi="Cambria Math" w:cs="Cambria Math"/>
        </w:rPr>
        <w:t>∈</w:t>
      </w:r>
      <w:r w:rsidRPr="00E47A4B">
        <w:t xml:space="preserve"> V is N(v) = {u </w:t>
      </w:r>
      <w:r w:rsidRPr="00E47A4B">
        <w:rPr>
          <w:rFonts w:ascii="Cambria Math" w:hAnsi="Cambria Math" w:cs="Cambria Math"/>
        </w:rPr>
        <w:t>∈</w:t>
      </w:r>
      <w:r w:rsidRPr="00E47A4B">
        <w:t xml:space="preserve"> V : {</w:t>
      </w:r>
      <w:proofErr w:type="spellStart"/>
      <w:r w:rsidRPr="00E47A4B">
        <w:t>u,v</w:t>
      </w:r>
      <w:proofErr w:type="spellEnd"/>
      <w:r w:rsidRPr="00E47A4B">
        <w:t xml:space="preserve">} </w:t>
      </w:r>
      <w:r w:rsidRPr="00E47A4B">
        <w:rPr>
          <w:rFonts w:ascii="Cambria Math" w:hAnsi="Cambria Math" w:cs="Cambria Math"/>
        </w:rPr>
        <w:t>∈</w:t>
      </w:r>
      <w:r w:rsidRPr="00E47A4B">
        <w:t xml:space="preserve"> E}</w:t>
      </w:r>
      <w:r w:rsidR="00FB32BE">
        <w:rPr>
          <w:rFonts w:ascii="Aptos" w:hAnsi="Aptos" w:cs="Aptos"/>
        </w:rPr>
        <w:t xml:space="preserve">, </w:t>
      </w:r>
      <w:r w:rsidRPr="00E47A4B">
        <w:t xml:space="preserve">the set of all vertices adjacent to v. The </w:t>
      </w:r>
      <w:r w:rsidRPr="00E47A4B">
        <w:rPr>
          <w:b/>
          <w:bCs/>
        </w:rPr>
        <w:t>closed neighbourhood</w:t>
      </w:r>
      <w:r w:rsidRPr="00E47A4B">
        <w:t xml:space="preserve"> is N[v] = N(v) </w:t>
      </w:r>
      <w:r w:rsidRPr="00E47A4B">
        <w:rPr>
          <w:rFonts w:ascii="Cambria Math" w:hAnsi="Cambria Math" w:cs="Cambria Math"/>
        </w:rPr>
        <w:t>∪</w:t>
      </w:r>
      <w:r w:rsidRPr="00E47A4B">
        <w:t xml:space="preserve"> {v} [</w:t>
      </w:r>
      <w:r w:rsidR="00A04C85" w:rsidRPr="00A04C85">
        <w:rPr>
          <w:highlight w:val="yellow"/>
        </w:rPr>
        <w:t xml:space="preserve">5= </w:t>
      </w:r>
      <w:r w:rsidRPr="00E47A4B">
        <w:rPr>
          <w:highlight w:val="yellow"/>
        </w:rPr>
        <w:t>Schoch &amp; Brandes 2016</w:t>
      </w:r>
      <w:r w:rsidRPr="00E47A4B">
        <w:t>].</w:t>
      </w:r>
    </w:p>
    <w:p w14:paraId="25D71875" w14:textId="18C63269" w:rsidR="003615A1" w:rsidRPr="003615A1" w:rsidRDefault="003615A1" w:rsidP="003615A1"/>
    <w:p w14:paraId="47D20F7A" w14:textId="4DF96542" w:rsidR="003615A1" w:rsidRPr="003615A1" w:rsidRDefault="00E47A4B" w:rsidP="003615A1">
      <w:r>
        <w:lastRenderedPageBreak/>
        <w:t>G</w:t>
      </w:r>
      <w:r w:rsidR="003615A1" w:rsidRPr="003615A1">
        <w:t xml:space="preserve">raph structure is encoded in </w:t>
      </w:r>
      <w:r>
        <w:t xml:space="preserve">a so-called </w:t>
      </w:r>
      <w:r w:rsidR="003615A1" w:rsidRPr="003615A1">
        <w:t xml:space="preserve">adjacency matrix A, where N = |V|. Labelling each vertex with a unique index </w:t>
      </w:r>
      <w:proofErr w:type="spellStart"/>
      <w:r w:rsidR="003615A1" w:rsidRPr="003615A1">
        <w:t>i</w:t>
      </w:r>
      <w:proofErr w:type="spellEnd"/>
      <w:r w:rsidR="003615A1" w:rsidRPr="003615A1">
        <w:t xml:space="preserve">(u) </w:t>
      </w:r>
      <w:r w:rsidR="003615A1" w:rsidRPr="003615A1">
        <w:rPr>
          <w:rFonts w:ascii="Cambria Math" w:hAnsi="Cambria Math" w:cs="Cambria Math"/>
        </w:rPr>
        <w:t>∈</w:t>
      </w:r>
      <w:r w:rsidR="003615A1" w:rsidRPr="003615A1">
        <w:t xml:space="preserve"> {1, 2, ..., N}, the matrix entries are A_{</w:t>
      </w:r>
      <w:proofErr w:type="spellStart"/>
      <w:r w:rsidR="003615A1" w:rsidRPr="003615A1">
        <w:t>i</w:t>
      </w:r>
      <w:proofErr w:type="spellEnd"/>
      <w:r w:rsidR="003615A1" w:rsidRPr="003615A1">
        <w:t>(u),</w:t>
      </w:r>
      <w:proofErr w:type="spellStart"/>
      <w:r w:rsidR="003615A1" w:rsidRPr="003615A1">
        <w:t>i</w:t>
      </w:r>
      <w:proofErr w:type="spellEnd"/>
      <w:r w:rsidR="003615A1" w:rsidRPr="003615A1">
        <w:t>(v)} = 1 if (</w:t>
      </w:r>
      <w:proofErr w:type="spellStart"/>
      <w:r w:rsidR="003615A1" w:rsidRPr="003615A1">
        <w:t>u,v</w:t>
      </w:r>
      <w:proofErr w:type="spellEnd"/>
      <w:r w:rsidR="003615A1" w:rsidRPr="003615A1">
        <w:t xml:space="preserve">) </w:t>
      </w:r>
      <w:r w:rsidR="003615A1" w:rsidRPr="003615A1">
        <w:rPr>
          <w:rFonts w:ascii="Cambria Math" w:hAnsi="Cambria Math" w:cs="Cambria Math"/>
        </w:rPr>
        <w:t>∈</w:t>
      </w:r>
      <w:r w:rsidR="003615A1" w:rsidRPr="003615A1">
        <w:t xml:space="preserve"> E, and 0 otherwise, giving A </w:t>
      </w:r>
      <w:r w:rsidR="003615A1" w:rsidRPr="003615A1">
        <w:rPr>
          <w:rFonts w:ascii="Cambria Math" w:hAnsi="Cambria Math" w:cs="Cambria Math"/>
        </w:rPr>
        <w:t>∈</w:t>
      </w:r>
      <w:r w:rsidR="003615A1" w:rsidRPr="003615A1">
        <w:t xml:space="preserve"> {0,1}^{N</w:t>
      </w:r>
      <w:r w:rsidR="003615A1" w:rsidRPr="003615A1">
        <w:rPr>
          <w:rFonts w:ascii="Aptos" w:hAnsi="Aptos" w:cs="Aptos"/>
        </w:rPr>
        <w:t>×</w:t>
      </w:r>
      <w:r w:rsidR="003615A1" w:rsidRPr="003615A1">
        <w:t>N} for unweighted graphs. Weighted graphs use real-valued adjacency matrices</w:t>
      </w:r>
      <w:r w:rsidR="00661105">
        <w:t xml:space="preserve"> not constrained to binary values</w:t>
      </w:r>
      <w:r w:rsidR="003615A1" w:rsidRPr="003615A1">
        <w:t xml:space="preserve">. </w:t>
      </w:r>
    </w:p>
    <w:p w14:paraId="410439D2" w14:textId="2142B509" w:rsidR="003615A1" w:rsidRPr="003615A1" w:rsidRDefault="003615A1" w:rsidP="003615A1">
      <w:r w:rsidRPr="003615A1">
        <w:t xml:space="preserve">For vertex u, in-degree k_{in}(u) = </w:t>
      </w:r>
      <w:proofErr w:type="spellStart"/>
      <w:r w:rsidRPr="003615A1">
        <w:t>Σ_j</w:t>
      </w:r>
      <w:proofErr w:type="spellEnd"/>
      <w:r w:rsidRPr="003615A1">
        <w:t xml:space="preserve"> A_{ji} counts incoming edges and out-degree k_{out}(u) = </w:t>
      </w:r>
      <w:proofErr w:type="spellStart"/>
      <w:r w:rsidRPr="003615A1">
        <w:t>Σ_j</w:t>
      </w:r>
      <w:proofErr w:type="spellEnd"/>
      <w:r w:rsidRPr="003615A1">
        <w:t xml:space="preserve"> A_{</w:t>
      </w:r>
      <w:proofErr w:type="spellStart"/>
      <w:r w:rsidRPr="003615A1">
        <w:t>ij</w:t>
      </w:r>
      <w:proofErr w:type="spellEnd"/>
      <w:r w:rsidRPr="003615A1">
        <w:t>} counts outgoing edges [</w:t>
      </w:r>
      <w:r w:rsidR="00874150" w:rsidRPr="00874150">
        <w:rPr>
          <w:highlight w:val="yellow"/>
        </w:rPr>
        <w:t xml:space="preserve">6= </w:t>
      </w:r>
      <w:r w:rsidRPr="003615A1">
        <w:rPr>
          <w:highlight w:val="yellow"/>
        </w:rPr>
        <w:t>Coscia 2021</w:t>
      </w:r>
      <w:r w:rsidRPr="003615A1">
        <w:t>]. In citation networks, in-degree equals citation count.</w:t>
      </w:r>
    </w:p>
    <w:p w14:paraId="38FE53C9" w14:textId="7DB1D049" w:rsidR="007B3F1E" w:rsidRPr="007B3F1E" w:rsidRDefault="003615A1" w:rsidP="007B3F1E">
      <w:r w:rsidRPr="003615A1">
        <w:t>A path of length ℓ is a sequence (v₀, v₁, ..., v</w:t>
      </w:r>
      <w:r w:rsidRPr="003615A1">
        <w:rPr>
          <w:rFonts w:ascii="Cambria Math" w:hAnsi="Cambria Math" w:cs="Cambria Math"/>
        </w:rPr>
        <w:t>ₗ</w:t>
      </w:r>
      <w:r w:rsidRPr="003615A1">
        <w:t>) where consecutive vertices satisfy (v</w:t>
      </w:r>
      <w:r w:rsidRPr="003615A1">
        <w:rPr>
          <w:rFonts w:ascii="Arial" w:hAnsi="Arial" w:cs="Arial"/>
        </w:rPr>
        <w:t>ᵢ</w:t>
      </w:r>
      <w:r w:rsidRPr="003615A1">
        <w:t>, v</w:t>
      </w:r>
      <w:r w:rsidRPr="003615A1">
        <w:rPr>
          <w:rFonts w:ascii="Arial" w:hAnsi="Arial" w:cs="Arial"/>
        </w:rPr>
        <w:t>ᵢ</w:t>
      </w:r>
      <w:r w:rsidRPr="003615A1">
        <w:rPr>
          <w:rFonts w:ascii="Cambria Math" w:hAnsi="Cambria Math" w:cs="Cambria Math"/>
        </w:rPr>
        <w:t>₊</w:t>
      </w:r>
      <w:r w:rsidRPr="003615A1">
        <w:rPr>
          <w:rFonts w:ascii="Aptos" w:hAnsi="Aptos" w:cs="Aptos"/>
        </w:rPr>
        <w:t>₁</w:t>
      </w:r>
      <w:r w:rsidRPr="003615A1">
        <w:t xml:space="preserve">) </w:t>
      </w:r>
      <w:r w:rsidRPr="003615A1">
        <w:rPr>
          <w:rFonts w:ascii="Cambria Math" w:hAnsi="Cambria Math" w:cs="Cambria Math"/>
        </w:rPr>
        <w:t>∈</w:t>
      </w:r>
      <w:r w:rsidRPr="003615A1">
        <w:t xml:space="preserve"> E [CITE]. The shortest path distance d(</w:t>
      </w:r>
      <w:proofErr w:type="spellStart"/>
      <w:r w:rsidRPr="003615A1">
        <w:t>u,v</w:t>
      </w:r>
      <w:proofErr w:type="spellEnd"/>
      <w:r w:rsidRPr="003615A1">
        <w:t>) quantifies the most direct route between nodes and is fundamental to many centrality measures (Section 4). Shortest paths can be computed via various algorithms, with Dijkstra's algorithm commonly used for single-source problems and Floyd-</w:t>
      </w:r>
      <w:proofErr w:type="spellStart"/>
      <w:r w:rsidRPr="003615A1">
        <w:t>Warshall</w:t>
      </w:r>
      <w:proofErr w:type="spellEnd"/>
      <w:r w:rsidRPr="003615A1">
        <w:t xml:space="preserve"> for all-pairs problems [</w:t>
      </w:r>
      <w:r w:rsidR="006419F4">
        <w:t xml:space="preserve"> </w:t>
      </w:r>
      <w:r w:rsidR="006419F4" w:rsidRPr="006419F4">
        <w:rPr>
          <w:highlight w:val="yellow"/>
        </w:rPr>
        <w:t>6</w:t>
      </w:r>
      <w:r w:rsidRPr="003615A1">
        <w:t>]. Unlike general directed graphs where longest paths may be undefined due to cycles, longest paths in DAGs are always well-defined and finite</w:t>
      </w:r>
      <w:r w:rsidR="00F96544">
        <w:t xml:space="preserve"> </w:t>
      </w:r>
      <w:r w:rsidR="00F96544" w:rsidRPr="00F96544">
        <w:rPr>
          <w:highlight w:val="yellow"/>
        </w:rPr>
        <w:t>[4</w:t>
      </w:r>
      <w:r w:rsidR="00F96544">
        <w:t>]</w:t>
      </w:r>
      <w:r w:rsidRPr="003615A1">
        <w:t>.</w:t>
      </w:r>
      <w:r w:rsidR="005912E5">
        <w:br/>
      </w:r>
      <w:r w:rsidR="005912E5">
        <w:br/>
      </w:r>
      <w:r w:rsidR="005912E5" w:rsidRPr="005912E5">
        <w:rPr>
          <w:u w:val="single"/>
        </w:rPr>
        <w:t>section 3:</w:t>
      </w:r>
      <w:r w:rsidR="00FE3271">
        <w:rPr>
          <w:u w:val="single"/>
        </w:rPr>
        <w:br/>
      </w:r>
      <w:r w:rsidR="00FE3271">
        <w:rPr>
          <w:u w:val="single"/>
        </w:rPr>
        <w:br/>
      </w:r>
      <w:r w:rsidR="00D04F0E" w:rsidRPr="00D04F0E">
        <w:t>While citation count (in-degree) provides a simple popularity metric, it fails to reveal how knowledge flows through time to produce innovation. Path-finding methods address this by tracing trajectories through citation networks to identify sequences of discoveries leading to technological outcomes. This section examines two approaches: main path analysis [</w:t>
      </w:r>
      <w:r w:rsidR="007B5AAD" w:rsidRPr="007B5AAD">
        <w:rPr>
          <w:highlight w:val="yellow"/>
        </w:rPr>
        <w:t xml:space="preserve">7= </w:t>
      </w:r>
      <w:r w:rsidR="00D04F0E" w:rsidRPr="007B5AAD">
        <w:rPr>
          <w:highlight w:val="yellow"/>
        </w:rPr>
        <w:t>Liu et al 2019]</w:t>
      </w:r>
      <w:r w:rsidR="00D04F0E" w:rsidRPr="00D04F0E">
        <w:t xml:space="preserve"> and a criticality-based method </w:t>
      </w:r>
      <w:r w:rsidR="00D04F0E" w:rsidRPr="007B5AAD">
        <w:rPr>
          <w:highlight w:val="yellow"/>
        </w:rPr>
        <w:t>[</w:t>
      </w:r>
      <w:r w:rsidR="004C21FE">
        <w:rPr>
          <w:highlight w:val="yellow"/>
        </w:rPr>
        <w:t>2</w:t>
      </w:r>
      <w:r w:rsidR="007B5AAD" w:rsidRPr="007B5AAD">
        <w:rPr>
          <w:highlight w:val="yellow"/>
        </w:rPr>
        <w:t>=</w:t>
      </w:r>
      <w:r w:rsidR="00D04F0E" w:rsidRPr="007B5AAD">
        <w:rPr>
          <w:highlight w:val="yellow"/>
        </w:rPr>
        <w:t>Ho et al 2024</w:t>
      </w:r>
      <w:r w:rsidR="007B5AAD" w:rsidRPr="007B5AAD">
        <w:rPr>
          <w:highlight w:val="yellow"/>
        </w:rPr>
        <w:t>].</w:t>
      </w:r>
    </w:p>
    <w:p w14:paraId="614F1F26" w14:textId="66CB9029" w:rsidR="0060551A" w:rsidRDefault="007B3F1E" w:rsidP="00C11E45">
      <w:r w:rsidRPr="007B3F1E">
        <w:t xml:space="preserve">Main Path Analysis (MPA), proposed by Hummon and </w:t>
      </w:r>
      <w:proofErr w:type="spellStart"/>
      <w:r w:rsidRPr="007B3F1E">
        <w:t>Doreian</w:t>
      </w:r>
      <w:proofErr w:type="spellEnd"/>
      <w:r w:rsidRPr="007B3F1E">
        <w:t xml:space="preserve"> (1989), maps knowledge flows by identifying the most significant citation chains connecting foundational research to eventual applications </w:t>
      </w:r>
      <w:r w:rsidR="00403592">
        <w:t>(</w:t>
      </w:r>
      <w:r w:rsidR="00403592" w:rsidRPr="00FF128C">
        <w:rPr>
          <w:highlight w:val="yellow"/>
        </w:rPr>
        <w:t xml:space="preserve">9=Hummon and </w:t>
      </w:r>
      <w:proofErr w:type="spellStart"/>
      <w:r w:rsidR="00403592" w:rsidRPr="00FF128C">
        <w:rPr>
          <w:highlight w:val="yellow"/>
        </w:rPr>
        <w:t>Doreian</w:t>
      </w:r>
      <w:proofErr w:type="spellEnd"/>
      <w:r w:rsidR="00403592">
        <w:t>)</w:t>
      </w:r>
      <w:r w:rsidRPr="007B3F1E">
        <w:t>. The method follows a two-step procedure: first, assign each citation link a "traversal weight" quantifying its importance to overall knowledge flow; second, search along highest-weight links to construct the "main path".</w:t>
      </w:r>
    </w:p>
    <w:p w14:paraId="4343A00F" w14:textId="14B76ED0" w:rsidR="00C11E45" w:rsidRPr="00C11E45" w:rsidRDefault="00C11E45" w:rsidP="00C11E45">
      <w:r>
        <w:br/>
      </w:r>
      <w:r w:rsidRPr="00C11E45">
        <w:t xml:space="preserve">Traversal weight quantifies how frequently a citation link participates in knowledge flows through the network. Hummon and </w:t>
      </w:r>
      <w:proofErr w:type="spellStart"/>
      <w:r w:rsidRPr="00C11E45">
        <w:t>Doreian</w:t>
      </w:r>
      <w:proofErr w:type="spellEnd"/>
      <w:r w:rsidRPr="00C11E45">
        <w:t xml:space="preserve"> (1989) </w:t>
      </w:r>
      <w:r w:rsidR="00B83AB2" w:rsidRPr="00B83AB2">
        <w:rPr>
          <w:highlight w:val="yellow"/>
        </w:rPr>
        <w:t>(9)</w:t>
      </w:r>
      <w:r w:rsidR="00B83AB2">
        <w:t xml:space="preserve"> </w:t>
      </w:r>
      <w:r w:rsidRPr="00C11E45">
        <w:t xml:space="preserve">introduced three schemes: search path link count (SPLC), search path node pair (SPNP), and node pair projection count (NPPC). </w:t>
      </w:r>
      <w:proofErr w:type="spellStart"/>
      <w:r w:rsidRPr="00C11E45">
        <w:t>Batagelj</w:t>
      </w:r>
      <w:proofErr w:type="spellEnd"/>
      <w:r w:rsidRPr="00C11E45">
        <w:t xml:space="preserve"> (2003) later proposed search path count (SPC) alongside efficient algorithms for large-scale analysis</w:t>
      </w:r>
      <w:r w:rsidR="00CB3A8E">
        <w:t xml:space="preserve"> </w:t>
      </w:r>
      <w:r w:rsidR="00CB3A8E" w:rsidRPr="006B51F3">
        <w:rPr>
          <w:highlight w:val="yellow"/>
        </w:rPr>
        <w:t>[</w:t>
      </w:r>
      <w:r w:rsidR="003959B1">
        <w:rPr>
          <w:highlight w:val="yellow"/>
        </w:rPr>
        <w:t>10 =</w:t>
      </w:r>
      <w:proofErr w:type="spellStart"/>
      <w:r w:rsidR="00CB3A8E" w:rsidRPr="006B51F3">
        <w:rPr>
          <w:highlight w:val="yellow"/>
        </w:rPr>
        <w:t>Batagelj</w:t>
      </w:r>
      <w:proofErr w:type="spellEnd"/>
      <w:r w:rsidR="00CB3A8E" w:rsidRPr="006B51F3">
        <w:rPr>
          <w:highlight w:val="yellow"/>
        </w:rPr>
        <w:t xml:space="preserve"> (2003)</w:t>
      </w:r>
      <w:r w:rsidR="00CB3A8E">
        <w:t>]</w:t>
      </w:r>
      <w:r w:rsidRPr="00C11E45">
        <w:t xml:space="preserve">. NPPC requires O(N²) computation time, making it impractical for networks with thousands of nodes </w:t>
      </w:r>
      <w:r w:rsidRPr="003959B1">
        <w:rPr>
          <w:highlight w:val="yellow"/>
        </w:rPr>
        <w:t>[</w:t>
      </w:r>
      <w:r w:rsidR="003959B1" w:rsidRPr="003959B1">
        <w:rPr>
          <w:highlight w:val="yellow"/>
        </w:rPr>
        <w:t>10</w:t>
      </w:r>
      <w:r w:rsidR="00731A3B" w:rsidRPr="003959B1">
        <w:rPr>
          <w:highlight w:val="yellow"/>
        </w:rPr>
        <w:t>)</w:t>
      </w:r>
      <w:r w:rsidRPr="003959B1">
        <w:rPr>
          <w:highlight w:val="yellow"/>
        </w:rPr>
        <w:t>].</w:t>
      </w:r>
      <w:r w:rsidRPr="00C11E45">
        <w:t xml:space="preserve"> This review therefore focuses on the three remaining schemes</w:t>
      </w:r>
      <w:r>
        <w:t xml:space="preserve"> </w:t>
      </w:r>
      <w:r w:rsidRPr="00C11E45">
        <w:t>which differ in how they count paths:</w:t>
      </w:r>
    </w:p>
    <w:p w14:paraId="14603731" w14:textId="5482D2D3" w:rsidR="00C11E45" w:rsidRPr="00C11E45" w:rsidRDefault="00C11E45" w:rsidP="00C11E45">
      <w:pPr>
        <w:numPr>
          <w:ilvl w:val="0"/>
          <w:numId w:val="7"/>
        </w:numPr>
      </w:pPr>
      <w:r w:rsidRPr="00C11E45">
        <w:rPr>
          <w:b/>
          <w:bCs/>
        </w:rPr>
        <w:t>SPC (Search Path Count)</w:t>
      </w:r>
      <w:r w:rsidRPr="00C11E45">
        <w:t>: counts how many times a link is traversed across all paths from sources to sinks</w:t>
      </w:r>
      <w:r w:rsidR="0092033A" w:rsidRPr="00C11E45">
        <w:t>.</w:t>
      </w:r>
    </w:p>
    <w:p w14:paraId="4A32212D" w14:textId="322893CC" w:rsidR="00C11E45" w:rsidRPr="00C11E45" w:rsidRDefault="00C11E45" w:rsidP="00C11E45">
      <w:pPr>
        <w:numPr>
          <w:ilvl w:val="0"/>
          <w:numId w:val="7"/>
        </w:numPr>
      </w:pPr>
      <w:r w:rsidRPr="00C11E45">
        <w:rPr>
          <w:b/>
          <w:bCs/>
        </w:rPr>
        <w:t>SPLC (Search Path Link Count)</w:t>
      </w:r>
      <w:r w:rsidRPr="00C11E45">
        <w:t>: like SPC but also counts paths originating from intermediate nodes to sinks</w:t>
      </w:r>
      <w:r w:rsidR="0092033A" w:rsidRPr="00C11E45">
        <w:t>.</w:t>
      </w:r>
    </w:p>
    <w:p w14:paraId="11FD34B7" w14:textId="3DA7D8F0" w:rsidR="000C5E82" w:rsidRPr="000C5E82" w:rsidRDefault="00C11E45" w:rsidP="000C5E82">
      <w:pPr>
        <w:numPr>
          <w:ilvl w:val="0"/>
          <w:numId w:val="7"/>
        </w:numPr>
      </w:pPr>
      <w:r w:rsidRPr="00C11E45">
        <w:rPr>
          <w:b/>
          <w:bCs/>
        </w:rPr>
        <w:t>SPNP (Search Path Node Pair)</w:t>
      </w:r>
      <w:r w:rsidRPr="00C11E45">
        <w:t>: counts paths from all ancestors (including intermediates) to all descendants</w:t>
      </w:r>
      <w:r w:rsidR="0092033A" w:rsidRPr="00C11E45">
        <w:t>.</w:t>
      </w:r>
    </w:p>
    <w:p w14:paraId="0F748AAE" w14:textId="77777777" w:rsidR="00610BB5" w:rsidRDefault="00744051" w:rsidP="00C4298E">
      <w:r w:rsidRPr="00744051">
        <w:t xml:space="preserve">Unlike SPC, which treats intermediate documents as passive conduits, SPLC recognizes that intermediate papers actively generate knowledge rather than merely relaying existing ideas, </w:t>
      </w:r>
      <w:r w:rsidRPr="00744051">
        <w:lastRenderedPageBreak/>
        <w:t>whilst SPNP overcompensates by treating intermediates as comprehensive knowledge repositories</w:t>
      </w:r>
      <w:r w:rsidR="00EC2FA9">
        <w:t xml:space="preserve"> </w:t>
      </w:r>
      <w:r w:rsidR="00EC2FA9" w:rsidRPr="00EC2FA9">
        <w:rPr>
          <w:highlight w:val="yellow"/>
        </w:rPr>
        <w:t>(7)</w:t>
      </w:r>
      <w:r w:rsidRPr="00744051">
        <w:t>.</w:t>
      </w:r>
    </w:p>
    <w:p w14:paraId="556866F5" w14:textId="35E447DE" w:rsidR="005A03FB" w:rsidRDefault="00D5470D" w:rsidP="00E46B52">
      <w:r>
        <w:t>B</w:t>
      </w:r>
      <w:r w:rsidR="00390AD1" w:rsidRPr="00390AD1">
        <w:t xml:space="preserve">efore expressing citation data as a DAG, we must address edges that create cycles. Temporal inconsistencies arise when patents cite papers published after their submission or when preprints are updated post-publication. These dating errors create forward-pointing citations and feedback loops where documents appear to cite each other cyclically (A→B→A), as demonstrated in Figure 1. Liu et al [2019] recommend three solutions for these feedback loops: delete one link in the cycle, add </w:t>
      </w:r>
      <w:r w:rsidR="006B538B">
        <w:t>preprints to create an acyclic structure</w:t>
      </w:r>
      <w:r w:rsidR="00390AD1" w:rsidRPr="00390AD1">
        <w:t>, or group cyclic documents into a "family" node</w:t>
      </w:r>
      <w:r w:rsidR="005A03FB">
        <w:t>.</w:t>
      </w:r>
    </w:p>
    <w:p w14:paraId="7EF692F2" w14:textId="49F05E7B" w:rsidR="00E46B52" w:rsidRPr="00E46B52" w:rsidRDefault="009E3169" w:rsidP="00E46B52">
      <w:r w:rsidRPr="009E3169">
        <w:t>Traditional MPA [Liu et al 2019] identifies a single dominant citation path through a network. Extensions such as the "network of main paths" approach allow for more holistic analysis by merging multiple local or global main paths [</w:t>
      </w:r>
      <w:r w:rsidR="00440FAF" w:rsidRPr="00440FAF">
        <w:rPr>
          <w:highlight w:val="yellow"/>
        </w:rPr>
        <w:t>11=</w:t>
      </w:r>
      <w:proofErr w:type="spellStart"/>
      <w:r w:rsidRPr="00440FAF">
        <w:rPr>
          <w:highlight w:val="yellow"/>
        </w:rPr>
        <w:t>Verspagen</w:t>
      </w:r>
      <w:proofErr w:type="spellEnd"/>
      <w:r w:rsidRPr="009E3169">
        <w:t>]. However, Ho et al [2024] present a fundamentally different approach to calculating path importance, establishing a mathematical link between technological evolution and complex networks by identifying innovation bottlenecks</w:t>
      </w:r>
      <w:r w:rsidR="00E46B52" w:rsidRPr="00E46B52">
        <w:t xml:space="preserve">. </w:t>
      </w:r>
      <w:r w:rsidR="00DB102D" w:rsidRPr="00DB102D">
        <w:t>Drawing from critical path method principles [</w:t>
      </w:r>
      <w:r w:rsidR="00D21042" w:rsidRPr="00D21042">
        <w:rPr>
          <w:highlight w:val="yellow"/>
        </w:rPr>
        <w:t>12 =</w:t>
      </w:r>
      <w:proofErr w:type="spellStart"/>
      <w:r w:rsidR="00DB102D" w:rsidRPr="00D21042">
        <w:rPr>
          <w:highlight w:val="yellow"/>
        </w:rPr>
        <w:t>Badiru</w:t>
      </w:r>
      <w:proofErr w:type="spellEnd"/>
      <w:r w:rsidR="00DB102D" w:rsidRPr="00D21042">
        <w:rPr>
          <w:highlight w:val="yellow"/>
        </w:rPr>
        <w:t xml:space="preserve"> 2013</w:t>
      </w:r>
      <w:r w:rsidR="00DB102D" w:rsidRPr="00DB102D">
        <w:t xml:space="preserve">], </w:t>
      </w:r>
      <w:r w:rsidR="001F3F7B">
        <w:t xml:space="preserve">they </w:t>
      </w:r>
      <w:r w:rsidR="00DB102D" w:rsidRPr="00DB102D">
        <w:t>apply the equivalence that the longest network path (in dependencies) represents the shortest possible completion time, as this path cannot be parallelized.</w:t>
      </w:r>
    </w:p>
    <w:p w14:paraId="5470516A" w14:textId="24CCEBCE" w:rsidR="00E46B52" w:rsidRPr="00E46B52" w:rsidRDefault="00E46B52" w:rsidP="00E46B52">
      <w:r w:rsidRPr="00E46B52">
        <w:t>The study represents innovation networks as multilayer directed acyclic graphs (DAGs), where nodes represent publications, patents, clinical trials, or regulatory approvals</w:t>
      </w:r>
      <w:r w:rsidR="00D87A27">
        <w:t xml:space="preserve"> </w:t>
      </w:r>
      <w:r w:rsidR="00D87A27" w:rsidRPr="00D87A27">
        <w:rPr>
          <w:highlight w:val="yellow"/>
        </w:rPr>
        <w:t>(</w:t>
      </w:r>
      <w:r w:rsidR="004C21FE">
        <w:rPr>
          <w:highlight w:val="yellow"/>
        </w:rPr>
        <w:t>2</w:t>
      </w:r>
      <w:r w:rsidR="00D87A27" w:rsidRPr="00D87A27">
        <w:rPr>
          <w:highlight w:val="yellow"/>
        </w:rPr>
        <w:t>)</w:t>
      </w:r>
      <w:r w:rsidRPr="00E46B52">
        <w:t xml:space="preserve">. Starting from a regulatory approval as the source node, they quantify each document's proximity to these critical paths using three measures: height h(v) (maximum distance from source to node v), depth d(v) (maximum distance from node v to any sink), and criticality c(v) = </w:t>
      </w:r>
      <w:proofErr w:type="spellStart"/>
      <w:r w:rsidRPr="00E46B52">
        <w:t>h_max</w:t>
      </w:r>
      <w:proofErr w:type="spellEnd"/>
      <w:r w:rsidRPr="00E46B52">
        <w:t xml:space="preserve"> - h(v) - d(v), where </w:t>
      </w:r>
      <w:proofErr w:type="spellStart"/>
      <w:r w:rsidRPr="00E46B52">
        <w:t>h_max</w:t>
      </w:r>
      <w:proofErr w:type="spellEnd"/>
      <w:r w:rsidRPr="00E46B52">
        <w:t xml:space="preserve"> is the height of the DAG. </w:t>
      </w:r>
      <w:r w:rsidR="00BF5F64" w:rsidRPr="00BF5F64">
        <w:t xml:space="preserve">When c(v) = 0, node v lies on a longest path from source to sink, indicating it is on the critical dependency chain. Nodes with c(v) &gt; 0 lie on paths c steps shorter than the longest path. The authors argue that examining near-critical nodes (small c values) is essential because it captures innovations that may have been parallelizable or non-rate-limiting, preventing the false rejection of important innovations that single-path methods might miss. </w:t>
      </w:r>
    </w:p>
    <w:p w14:paraId="73F020F4" w14:textId="2D1E70A6" w:rsidR="00E46B52" w:rsidRPr="00E46B52" w:rsidRDefault="00E46B52" w:rsidP="00E46B52">
      <w:r w:rsidRPr="00E46B52">
        <w:t>The theoretical basis for using longest paths to identify bottlenecks draws on the finding that in DAGs embedded in Lorentzian spacetime geometry, longest paths approximate the geodesics—the routes of least resistance for information flow (</w:t>
      </w:r>
      <w:r w:rsidR="006528D7" w:rsidRPr="006528D7">
        <w:rPr>
          <w:highlight w:val="yellow"/>
        </w:rPr>
        <w:t xml:space="preserve">13= </w:t>
      </w:r>
      <w:r w:rsidRPr="00E46B52">
        <w:rPr>
          <w:highlight w:val="yellow"/>
        </w:rPr>
        <w:t>Clough &amp; Evans, 2017</w:t>
      </w:r>
      <w:r w:rsidRPr="00E46B52">
        <w:t xml:space="preserve">). </w:t>
      </w:r>
    </w:p>
    <w:p w14:paraId="3C043021" w14:textId="779A1D99" w:rsidR="00352765" w:rsidRDefault="009D6159" w:rsidP="00E46B52">
      <w:r w:rsidRPr="009D6159">
        <w:t>The paper validates this approach using the Moderna Spikevax mRNA vaccine network. Documents on longest paths (c=0) included known critical developments. Documents cited in expert literature reviews [</w:t>
      </w:r>
      <w:r w:rsidR="00312A3D" w:rsidRPr="00312A3D">
        <w:rPr>
          <w:highlight w:val="yellow"/>
        </w:rPr>
        <w:t xml:space="preserve">14 = </w:t>
      </w:r>
      <w:r w:rsidRPr="00312A3D">
        <w:rPr>
          <w:highlight w:val="yellow"/>
        </w:rPr>
        <w:t xml:space="preserve">Dolgin 2021; </w:t>
      </w:r>
      <w:r w:rsidR="00312A3D" w:rsidRPr="00312A3D">
        <w:rPr>
          <w:highlight w:val="yellow"/>
        </w:rPr>
        <w:t>15 =</w:t>
      </w:r>
      <w:r w:rsidRPr="00312A3D">
        <w:rPr>
          <w:highlight w:val="yellow"/>
        </w:rPr>
        <w:t>Xu et al 2020</w:t>
      </w:r>
      <w:r w:rsidRPr="009D6159">
        <w:t xml:space="preserve">] had significantly lower criticality (median c=0.033) than uncited documents (median c=0.169). A Kolmogorov–Smirnov test confirmed these distributions were significantly different (p&lt;&lt;0.0001), demonstrating that the criticality measure correlates with expert assessments of important contributions </w:t>
      </w:r>
      <w:r w:rsidR="00E959AC" w:rsidRPr="00E959AC">
        <w:rPr>
          <w:highlight w:val="yellow"/>
        </w:rPr>
        <w:t>(</w:t>
      </w:r>
      <w:r w:rsidR="004C21FE">
        <w:rPr>
          <w:highlight w:val="yellow"/>
        </w:rPr>
        <w:t>2</w:t>
      </w:r>
      <w:r w:rsidR="00E959AC" w:rsidRPr="00E959AC">
        <w:rPr>
          <w:highlight w:val="yellow"/>
        </w:rPr>
        <w:t>)</w:t>
      </w:r>
      <w:r w:rsidR="00E959AC">
        <w:t>.</w:t>
      </w:r>
    </w:p>
    <w:p w14:paraId="5E2D1B7D" w14:textId="783C4A88" w:rsidR="00E46B52" w:rsidRPr="00E46B52" w:rsidRDefault="002F3B71" w:rsidP="00E46B52">
      <w:r>
        <w:br/>
      </w:r>
      <w:r w:rsidRPr="002F3B71">
        <w:rPr>
          <w:u w:val="single"/>
        </w:rPr>
        <w:t xml:space="preserve">Section </w:t>
      </w:r>
      <w:r w:rsidR="00C74AEF">
        <w:rPr>
          <w:u w:val="single"/>
        </w:rPr>
        <w:t>4</w:t>
      </w:r>
      <w:r w:rsidRPr="002F3B71">
        <w:rPr>
          <w:u w:val="single"/>
        </w:rPr>
        <w:t>:</w:t>
      </w:r>
    </w:p>
    <w:p w14:paraId="110837E3" w14:textId="0B0B4B46" w:rsidR="00AE67B3" w:rsidRPr="00AE67B3" w:rsidRDefault="00AE67B3" w:rsidP="00AE67B3">
      <w:r w:rsidRPr="00AE67B3">
        <w:t xml:space="preserve">While path methods identify innovation trajectories through citation networks </w:t>
      </w:r>
      <w:r w:rsidRPr="00AE67B3">
        <w:rPr>
          <w:highlight w:val="yellow"/>
        </w:rPr>
        <w:t>[7,</w:t>
      </w:r>
      <w:r w:rsidR="004C21FE">
        <w:rPr>
          <w:highlight w:val="yellow"/>
        </w:rPr>
        <w:t>2</w:t>
      </w:r>
      <w:r w:rsidRPr="00AE67B3">
        <w:rPr>
          <w:highlight w:val="yellow"/>
        </w:rPr>
        <w:t>],</w:t>
      </w:r>
      <w:r w:rsidRPr="00AE67B3">
        <w:t xml:space="preserve"> complementary approaches quantify individual node importance. Centrality measures rank vertices by structural position or influence </w:t>
      </w:r>
      <w:r w:rsidRPr="00AE67B3">
        <w:rPr>
          <w:highlight w:val="yellow"/>
        </w:rPr>
        <w:t>[6].</w:t>
      </w:r>
      <w:r w:rsidRPr="00AE67B3">
        <w:t xml:space="preserve"> The simplest metric, citation count (equivalent to in-degree [6]), has fundamental limitations that have long been recognized. Garfield [1973] (</w:t>
      </w:r>
      <w:r w:rsidRPr="00AE67B3">
        <w:rPr>
          <w:highlight w:val="yellow"/>
        </w:rPr>
        <w:t>16 = E. Garfield)</w:t>
      </w:r>
      <w:r w:rsidRPr="00AE67B3">
        <w:t xml:space="preserve"> argued that citation frequency measures research activity and communication, not </w:t>
      </w:r>
      <w:r w:rsidRPr="00AE67B3">
        <w:lastRenderedPageBreak/>
        <w:t>inherent significance, and is valid "only as a starting point in a qualitative appraisal." Network scientists have since developed multiple centrality indices, each capturing different notions of importance.</w:t>
      </w:r>
    </w:p>
    <w:p w14:paraId="0354B771" w14:textId="77777777" w:rsidR="00AE67B3" w:rsidRPr="00AE67B3" w:rsidRDefault="00AE67B3" w:rsidP="00AE67B3">
      <w:r w:rsidRPr="00AE67B3">
        <w:rPr>
          <w:b/>
          <w:bCs/>
        </w:rPr>
        <w:t>Degree centrality</w:t>
      </w:r>
      <w:r w:rsidRPr="00AE67B3">
        <w:t xml:space="preserve"> </w:t>
      </w:r>
      <w:proofErr w:type="spellStart"/>
      <w:r w:rsidRPr="00AE67B3">
        <w:t>cD</w:t>
      </w:r>
      <w:proofErr w:type="spellEnd"/>
      <w:r w:rsidRPr="00AE67B3">
        <w:t xml:space="preserve">(v) = |N(v)| counts citations </w:t>
      </w:r>
      <w:r w:rsidRPr="00AE67B3">
        <w:rPr>
          <w:highlight w:val="yellow"/>
        </w:rPr>
        <w:t>received (17 = Nieminen 1974</w:t>
      </w:r>
      <w:r w:rsidRPr="00AE67B3">
        <w:t>), but captures only immediate connections, missing indirect influence. As discussed above and now formalized, below we highlight other well-known centrality measures (</w:t>
      </w:r>
      <w:r w:rsidRPr="00AE67B3">
        <w:rPr>
          <w:highlight w:val="yellow"/>
        </w:rPr>
        <w:t xml:space="preserve">18 = </w:t>
      </w:r>
      <w:proofErr w:type="spellStart"/>
      <w:r w:rsidRPr="00AE67B3">
        <w:rPr>
          <w:highlight w:val="yellow"/>
        </w:rPr>
        <w:t>AndreaLandherr</w:t>
      </w:r>
      <w:proofErr w:type="spellEnd"/>
      <w:r w:rsidRPr="00AE67B3">
        <w:rPr>
          <w:highlight w:val="yellow"/>
        </w:rPr>
        <w:t xml:space="preserve"> 2010):</w:t>
      </w:r>
    </w:p>
    <w:p w14:paraId="35083C53" w14:textId="5D175E0C" w:rsidR="00971722" w:rsidRPr="00971722" w:rsidRDefault="00971722" w:rsidP="00971722">
      <w:r w:rsidRPr="00971722">
        <w:rPr>
          <w:b/>
          <w:bCs/>
        </w:rPr>
        <w:t>Closeness centrality</w:t>
      </w:r>
      <w:r w:rsidRPr="00971722">
        <w:t xml:space="preserve"> measures average distance to all nodes: </w:t>
      </w:r>
      <w:proofErr w:type="spellStart"/>
      <w:r w:rsidRPr="00971722">
        <w:t>cC</w:t>
      </w:r>
      <w:proofErr w:type="spellEnd"/>
      <w:r w:rsidRPr="00971722">
        <w:t>(v) = (∑</w:t>
      </w:r>
      <w:proofErr w:type="spellStart"/>
      <w:r w:rsidRPr="00971722">
        <w:t>t</w:t>
      </w:r>
      <w:r w:rsidRPr="00971722">
        <w:rPr>
          <w:rFonts w:ascii="Cambria Math" w:hAnsi="Cambria Math" w:cs="Cambria Math"/>
        </w:rPr>
        <w:t>∈</w:t>
      </w:r>
      <w:r w:rsidRPr="00971722">
        <w:t>V</w:t>
      </w:r>
      <w:proofErr w:type="spellEnd"/>
      <w:r w:rsidRPr="00971722">
        <w:t xml:space="preserve"> </w:t>
      </w:r>
      <w:proofErr w:type="spellStart"/>
      <w:r w:rsidRPr="00971722">
        <w:t>dist</w:t>
      </w:r>
      <w:proofErr w:type="spellEnd"/>
      <w:r w:rsidRPr="00971722">
        <w:t>(</w:t>
      </w:r>
      <w:proofErr w:type="spellStart"/>
      <w:r w:rsidRPr="00971722">
        <w:t>v,t</w:t>
      </w:r>
      <w:proofErr w:type="spellEnd"/>
      <w:r w:rsidRPr="00971722">
        <w:t>))</w:t>
      </w:r>
      <w:r w:rsidRPr="00971722">
        <w:rPr>
          <w:rFonts w:ascii="Cambria Math" w:hAnsi="Cambria Math" w:cs="Cambria Math"/>
        </w:rPr>
        <w:t>⁻</w:t>
      </w:r>
      <w:r w:rsidRPr="00971722">
        <w:rPr>
          <w:rFonts w:ascii="Aptos" w:hAnsi="Aptos" w:cs="Aptos"/>
        </w:rPr>
        <w:t>¹</w:t>
      </w:r>
      <w:r w:rsidRPr="00971722">
        <w:t xml:space="preserve"> </w:t>
      </w:r>
      <w:r w:rsidRPr="00971722">
        <w:rPr>
          <w:highlight w:val="yellow"/>
        </w:rPr>
        <w:t>[</w:t>
      </w:r>
      <w:r w:rsidR="00567444" w:rsidRPr="003B39C1">
        <w:rPr>
          <w:highlight w:val="yellow"/>
        </w:rPr>
        <w:t>1</w:t>
      </w:r>
      <w:r w:rsidR="003B39C1" w:rsidRPr="003B39C1">
        <w:rPr>
          <w:highlight w:val="yellow"/>
        </w:rPr>
        <w:t>9</w:t>
      </w:r>
      <w:r w:rsidR="00567444" w:rsidRPr="003B39C1">
        <w:rPr>
          <w:highlight w:val="yellow"/>
        </w:rPr>
        <w:t xml:space="preserve"> =</w:t>
      </w:r>
      <w:r w:rsidRPr="00971722">
        <w:rPr>
          <w:highlight w:val="yellow"/>
        </w:rPr>
        <w:t>Beauchamp 1965</w:t>
      </w:r>
      <w:r w:rsidR="00567444" w:rsidRPr="003B39C1">
        <w:rPr>
          <w:highlight w:val="yellow"/>
        </w:rPr>
        <w:t xml:space="preserve"> </w:t>
      </w:r>
      <w:r w:rsidRPr="00971722">
        <w:rPr>
          <w:highlight w:val="yellow"/>
        </w:rPr>
        <w:t>;</w:t>
      </w:r>
      <w:r w:rsidR="00567444" w:rsidRPr="003B39C1">
        <w:rPr>
          <w:highlight w:val="yellow"/>
        </w:rPr>
        <w:t xml:space="preserve"> </w:t>
      </w:r>
      <w:r w:rsidR="003B39C1">
        <w:rPr>
          <w:highlight w:val="yellow"/>
        </w:rPr>
        <w:t>20</w:t>
      </w:r>
      <w:r w:rsidR="00567444" w:rsidRPr="003B39C1">
        <w:rPr>
          <w:highlight w:val="yellow"/>
        </w:rPr>
        <w:t>=</w:t>
      </w:r>
      <w:r w:rsidRPr="00971722">
        <w:rPr>
          <w:highlight w:val="yellow"/>
        </w:rPr>
        <w:t xml:space="preserve"> </w:t>
      </w:r>
      <w:proofErr w:type="spellStart"/>
      <w:r w:rsidRPr="00971722">
        <w:rPr>
          <w:highlight w:val="yellow"/>
        </w:rPr>
        <w:t>Sabidussi</w:t>
      </w:r>
      <w:proofErr w:type="spellEnd"/>
      <w:r w:rsidRPr="00971722">
        <w:rPr>
          <w:highlight w:val="yellow"/>
        </w:rPr>
        <w:t xml:space="preserve"> 1966</w:t>
      </w:r>
      <w:r w:rsidRPr="00971722">
        <w:t>]. In citation networks, high closeness indicates proximity to foundational work that influenced many subsequent developments.</w:t>
      </w:r>
    </w:p>
    <w:p w14:paraId="17FEFB8B" w14:textId="7FD26B27" w:rsidR="00971722" w:rsidRPr="00971722" w:rsidRDefault="00971722" w:rsidP="00971722">
      <w:r w:rsidRPr="00971722">
        <w:rPr>
          <w:b/>
          <w:bCs/>
        </w:rPr>
        <w:t>Betweenness centrality</w:t>
      </w:r>
      <w:r w:rsidRPr="00971722">
        <w:t xml:space="preserve"> identifies "gatekeepers" controlling knowledge flows between research communities: </w:t>
      </w:r>
      <w:proofErr w:type="spellStart"/>
      <w:r w:rsidRPr="00971722">
        <w:t>cB</w:t>
      </w:r>
      <w:proofErr w:type="spellEnd"/>
      <w:r w:rsidRPr="00971722">
        <w:t>(v) = ∑</w:t>
      </w:r>
      <w:proofErr w:type="spellStart"/>
      <w:r w:rsidRPr="00971722">
        <w:t>s,t</w:t>
      </w:r>
      <w:r w:rsidRPr="00971722">
        <w:rPr>
          <w:rFonts w:ascii="Cambria Math" w:hAnsi="Cambria Math" w:cs="Cambria Math"/>
        </w:rPr>
        <w:t>∈</w:t>
      </w:r>
      <w:r w:rsidRPr="00971722">
        <w:t>V</w:t>
      </w:r>
      <w:proofErr w:type="spellEnd"/>
      <w:r w:rsidRPr="00971722">
        <w:t xml:space="preserve"> </w:t>
      </w:r>
      <w:proofErr w:type="spellStart"/>
      <w:r w:rsidRPr="00971722">
        <w:rPr>
          <w:rFonts w:ascii="Aptos" w:hAnsi="Aptos" w:cs="Aptos"/>
        </w:rPr>
        <w:t>σ</w:t>
      </w:r>
      <w:r w:rsidRPr="00971722">
        <w:t>st</w:t>
      </w:r>
      <w:proofErr w:type="spellEnd"/>
      <w:r w:rsidRPr="00971722">
        <w:t>(v)/</w:t>
      </w:r>
      <w:proofErr w:type="spellStart"/>
      <w:r w:rsidRPr="00971722">
        <w:rPr>
          <w:rFonts w:ascii="Aptos" w:hAnsi="Aptos" w:cs="Aptos"/>
        </w:rPr>
        <w:t>σ</w:t>
      </w:r>
      <w:r w:rsidRPr="00971722">
        <w:t>st</w:t>
      </w:r>
      <w:proofErr w:type="spellEnd"/>
      <w:r w:rsidRPr="00971722">
        <w:t xml:space="preserve">, where </w:t>
      </w:r>
      <w:proofErr w:type="spellStart"/>
      <w:r w:rsidRPr="00971722">
        <w:rPr>
          <w:rFonts w:ascii="Aptos" w:hAnsi="Aptos" w:cs="Aptos"/>
        </w:rPr>
        <w:t>σ</w:t>
      </w:r>
      <w:r w:rsidRPr="00971722">
        <w:t>st</w:t>
      </w:r>
      <w:proofErr w:type="spellEnd"/>
      <w:r w:rsidRPr="00971722">
        <w:t xml:space="preserve"> is the number of shortest paths between s and t, and </w:t>
      </w:r>
      <w:proofErr w:type="spellStart"/>
      <w:r w:rsidRPr="00971722">
        <w:rPr>
          <w:rFonts w:ascii="Aptos" w:hAnsi="Aptos" w:cs="Aptos"/>
        </w:rPr>
        <w:t>σ</w:t>
      </w:r>
      <w:r w:rsidRPr="00971722">
        <w:t>st</w:t>
      </w:r>
      <w:proofErr w:type="spellEnd"/>
      <w:r w:rsidRPr="00971722">
        <w:t xml:space="preserve">(v) counts those passing through v </w:t>
      </w:r>
      <w:r w:rsidRPr="00971722">
        <w:rPr>
          <w:highlight w:val="yellow"/>
        </w:rPr>
        <w:t>[</w:t>
      </w:r>
      <w:r w:rsidR="00924A8E" w:rsidRPr="006C2003">
        <w:rPr>
          <w:highlight w:val="yellow"/>
        </w:rPr>
        <w:t>2</w:t>
      </w:r>
      <w:r w:rsidR="006C2003" w:rsidRPr="006C2003">
        <w:rPr>
          <w:highlight w:val="yellow"/>
        </w:rPr>
        <w:t>1</w:t>
      </w:r>
      <w:r w:rsidR="00924A8E" w:rsidRPr="006C2003">
        <w:rPr>
          <w:highlight w:val="yellow"/>
        </w:rPr>
        <w:t xml:space="preserve"> =</w:t>
      </w:r>
      <w:r w:rsidRPr="00971722">
        <w:rPr>
          <w:highlight w:val="yellow"/>
        </w:rPr>
        <w:t>Freeman 1977].</w:t>
      </w:r>
    </w:p>
    <w:p w14:paraId="50287F8D" w14:textId="4A49CA28" w:rsidR="00F92F0D" w:rsidRPr="00F92F0D" w:rsidRDefault="00971722" w:rsidP="00F92F0D">
      <w:r w:rsidRPr="00971722">
        <w:rPr>
          <w:b/>
          <w:bCs/>
        </w:rPr>
        <w:t>Eigenvector centrality</w:t>
      </w:r>
      <w:r w:rsidRPr="00971722">
        <w:t xml:space="preserve"> implements recursive importance</w:t>
      </w:r>
      <w:r w:rsidR="00FB32BE">
        <w:t xml:space="preserve">, </w:t>
      </w:r>
      <w:r w:rsidRPr="00971722">
        <w:t xml:space="preserve">being cited by influential papers counts more: </w:t>
      </w:r>
      <w:proofErr w:type="spellStart"/>
      <w:r w:rsidRPr="00971722">
        <w:t>cE</w:t>
      </w:r>
      <w:proofErr w:type="spellEnd"/>
      <w:r w:rsidRPr="00971722">
        <w:t>(v) = (1/λ) ∑</w:t>
      </w:r>
      <w:proofErr w:type="spellStart"/>
      <w:r w:rsidRPr="00971722">
        <w:t>w</w:t>
      </w:r>
      <w:r w:rsidRPr="00971722">
        <w:rPr>
          <w:rFonts w:ascii="Cambria Math" w:hAnsi="Cambria Math" w:cs="Cambria Math"/>
        </w:rPr>
        <w:t>∈</w:t>
      </w:r>
      <w:r w:rsidRPr="00971722">
        <w:t>N</w:t>
      </w:r>
      <w:proofErr w:type="spellEnd"/>
      <w:r w:rsidRPr="00971722">
        <w:t xml:space="preserve">(v) </w:t>
      </w:r>
      <w:proofErr w:type="spellStart"/>
      <w:r w:rsidRPr="00971722">
        <w:t>cE</w:t>
      </w:r>
      <w:proofErr w:type="spellEnd"/>
      <w:r w:rsidRPr="00971722">
        <w:t xml:space="preserve">(w), where </w:t>
      </w:r>
      <w:r w:rsidRPr="00971722">
        <w:rPr>
          <w:rFonts w:ascii="Aptos" w:hAnsi="Aptos" w:cs="Aptos"/>
        </w:rPr>
        <w:t>λ</w:t>
      </w:r>
      <w:r w:rsidRPr="00971722">
        <w:t xml:space="preserve"> is the largest eigenvalue of the adjacency matrix </w:t>
      </w:r>
      <w:r w:rsidRPr="00971722">
        <w:rPr>
          <w:highlight w:val="yellow"/>
        </w:rPr>
        <w:t>[</w:t>
      </w:r>
      <w:r w:rsidR="00924A8E" w:rsidRPr="00CA090A">
        <w:rPr>
          <w:highlight w:val="yellow"/>
        </w:rPr>
        <w:t>2</w:t>
      </w:r>
      <w:r w:rsidR="00CA090A" w:rsidRPr="00CA090A">
        <w:rPr>
          <w:highlight w:val="yellow"/>
        </w:rPr>
        <w:t>2</w:t>
      </w:r>
      <w:r w:rsidR="00924A8E" w:rsidRPr="00CA090A">
        <w:rPr>
          <w:highlight w:val="yellow"/>
        </w:rPr>
        <w:t xml:space="preserve"> =</w:t>
      </w:r>
      <w:proofErr w:type="spellStart"/>
      <w:r w:rsidRPr="00971722">
        <w:rPr>
          <w:highlight w:val="yellow"/>
        </w:rPr>
        <w:t>Bonacich</w:t>
      </w:r>
      <w:proofErr w:type="spellEnd"/>
      <w:r w:rsidRPr="00971722">
        <w:rPr>
          <w:highlight w:val="yellow"/>
        </w:rPr>
        <w:t xml:space="preserve"> 1972].</w:t>
      </w:r>
      <w:r w:rsidR="00A36718">
        <w:br/>
      </w:r>
      <w:r w:rsidR="00A36718">
        <w:br/>
      </w:r>
      <w:r w:rsidR="001A7C47" w:rsidRPr="001A7C47">
        <w:t>The wide variety of centrality measures invokes the need for a unifying theoretical framework. Schoch &amp; Brandes [2016]</w:t>
      </w:r>
      <w:r w:rsidR="00AD68E9">
        <w:t xml:space="preserve"> </w:t>
      </w:r>
      <w:r w:rsidR="00AD68E9" w:rsidRPr="00AD68E9">
        <w:rPr>
          <w:highlight w:val="yellow"/>
        </w:rPr>
        <w:t>(5</w:t>
      </w:r>
      <w:r w:rsidR="00AD68E9">
        <w:t>)</w:t>
      </w:r>
      <w:r w:rsidR="001A7C47" w:rsidRPr="001A7C47">
        <w:t xml:space="preserve"> propose </w:t>
      </w:r>
      <w:r w:rsidR="001A7C47" w:rsidRPr="001A7C47">
        <w:rPr>
          <w:b/>
          <w:bCs/>
        </w:rPr>
        <w:t>neighbourhood inclusion</w:t>
      </w:r>
      <w:r w:rsidR="001A7C47" w:rsidRPr="001A7C47">
        <w:t xml:space="preserve"> as a defining criterion for centrality, formalizing the intuition that if an actor has the same (and possibly more) ties, it can never be less central. </w:t>
      </w:r>
      <w:r w:rsidR="0032554C" w:rsidRPr="0032554C">
        <w:t xml:space="preserve">They prove that standard centrality indices preserve the neighbourhood-inclusion pre-order, where vertex u is dominated by v if all of u's neighbours are also neighbours of v (denoted N(u) </w:t>
      </w:r>
      <w:r w:rsidR="0032554C" w:rsidRPr="0032554C">
        <w:rPr>
          <w:rFonts w:ascii="Cambria Math" w:hAnsi="Cambria Math" w:cs="Cambria Math"/>
        </w:rPr>
        <w:t>⊆</w:t>
      </w:r>
      <w:r w:rsidR="0032554C" w:rsidRPr="0032554C">
        <w:t xml:space="preserve"> N[v])</w:t>
      </w:r>
      <w:r w:rsidR="00AD68E9">
        <w:t xml:space="preserve"> </w:t>
      </w:r>
      <w:r w:rsidR="00AD68E9" w:rsidRPr="00AD68E9">
        <w:rPr>
          <w:highlight w:val="yellow"/>
        </w:rPr>
        <w:t>(5)</w:t>
      </w:r>
      <w:r w:rsidR="0032554C" w:rsidRPr="0032554C">
        <w:t>.</w:t>
      </w:r>
      <w:r w:rsidR="00A36718">
        <w:br/>
      </w:r>
      <w:r w:rsidR="00A36718">
        <w:br/>
      </w:r>
      <w:r w:rsidR="0002134B" w:rsidRPr="0002134B">
        <w:t>The well-known centrality measures discussed above are typically defined for undirected, unweighted networks with a single connected component. This raises the question: how do these measures apply to DAGs, where edge directionality fundamentally alters the notion of neighbourhood and reachability?</w:t>
      </w:r>
      <w:r w:rsidR="00A36718">
        <w:br/>
      </w:r>
      <w:r w:rsidR="00A36718">
        <w:br/>
      </w:r>
      <w:r w:rsidR="001A781F" w:rsidRPr="001A781F">
        <w:t xml:space="preserve">Chen et al. [2007] </w:t>
      </w:r>
      <w:r w:rsidR="00FB1366" w:rsidRPr="00FB1366">
        <w:rPr>
          <w:highlight w:val="yellow"/>
        </w:rPr>
        <w:t>(23)</w:t>
      </w:r>
      <w:r w:rsidR="00FB1366">
        <w:t xml:space="preserve"> </w:t>
      </w:r>
      <w:r w:rsidR="001A781F" w:rsidRPr="001A781F">
        <w:t xml:space="preserve">adapted Google's PageRank algorithm </w:t>
      </w:r>
      <w:r w:rsidR="001A781F" w:rsidRPr="00FB1366">
        <w:rPr>
          <w:highlight w:val="yellow"/>
        </w:rPr>
        <w:t>[</w:t>
      </w:r>
      <w:r w:rsidR="00FB1366" w:rsidRPr="00FB1366">
        <w:rPr>
          <w:highlight w:val="yellow"/>
        </w:rPr>
        <w:t>24 =</w:t>
      </w:r>
      <w:r w:rsidR="001A781F" w:rsidRPr="00FB1366">
        <w:rPr>
          <w:highlight w:val="yellow"/>
        </w:rPr>
        <w:t>Brin &amp; Page 1998</w:t>
      </w:r>
      <w:r w:rsidR="001A781F" w:rsidRPr="001A781F">
        <w:t>] to Physical Review's citation network (353,268 papers, 1893-2003), arguing citation count alone misses influential papers. A paper's PageRank depends on both who cites it and how many references those citing papers have</w:t>
      </w:r>
      <w:r w:rsidR="006A511A">
        <w:t xml:space="preserve">, </w:t>
      </w:r>
      <w:r w:rsidR="001A781F" w:rsidRPr="001A781F">
        <w:t xml:space="preserve">being cited by influential papers with few references contributes more. Their findings showed that PageRank successfully identifies "gems": papers considered </w:t>
      </w:r>
      <w:r w:rsidR="00C71B86" w:rsidRPr="001A781F">
        <w:t>seminal</w:t>
      </w:r>
      <w:r w:rsidR="001A781F" w:rsidRPr="001A781F">
        <w:t xml:space="preserve"> in the fiel</w:t>
      </w:r>
      <w:r w:rsidR="0019448B">
        <w:t>d</w:t>
      </w:r>
      <w:r w:rsidR="001A781F" w:rsidRPr="001A781F">
        <w:t>.</w:t>
      </w:r>
      <w:r w:rsidR="00DF6F4F">
        <w:br/>
      </w:r>
      <w:r w:rsidR="00DF6F4F">
        <w:br/>
      </w:r>
      <w:r w:rsidR="00DF6F4F" w:rsidRPr="00686D68">
        <w:rPr>
          <w:highlight w:val="cyan"/>
        </w:rPr>
        <w:t xml:space="preserve">Jordán et al. compared 13 centrality indices across nine carbon flow networks. The authors employed dual analysis: (1) metric analysis using product-moment correlations treating numerical differences as meaningful; (2) ordinal analysis using rank-order comparisons via Goodman and Kruskal's (1954) gamma function. For each network, they constructed correlation matrices, applied UPGMA classification, then generated consensus dendrograms requiring agreement across at least five networks. However, their conclusion that path length parameters matter less than weighting schemes may not generalize—these networks have natural depth constraints (3-4 levels), whereas citation networks span decades with unbounded </w:t>
      </w:r>
      <w:r w:rsidR="00DF6F4F" w:rsidRPr="00686D68">
        <w:rPr>
          <w:highlight w:val="cyan"/>
        </w:rPr>
        <w:lastRenderedPageBreak/>
        <w:t>path lengths, potentially making longer paths more critical for identifying innovation trajectories.</w:t>
      </w:r>
    </w:p>
    <w:p w14:paraId="247A96B0" w14:textId="10840029" w:rsidR="00750073" w:rsidRDefault="00E40033" w:rsidP="00F25EC0">
      <w:r>
        <w:t>[1]</w:t>
      </w:r>
      <w:r>
        <w:tab/>
      </w:r>
      <w:r w:rsidRPr="00E40033">
        <w:t xml:space="preserve">Fortunato S, Bergstrom CT, Börner K, Evans JA, Helbing D, Milojević S, Petersen AM, </w:t>
      </w:r>
      <w:proofErr w:type="spellStart"/>
      <w:r w:rsidRPr="00E40033">
        <w:t>Radicchi</w:t>
      </w:r>
      <w:proofErr w:type="spellEnd"/>
      <w:r w:rsidRPr="00E40033">
        <w:t xml:space="preserve"> F, Sinatra R, Uzzi B, </w:t>
      </w:r>
      <w:proofErr w:type="spellStart"/>
      <w:r w:rsidRPr="00E40033">
        <w:t>Vespignani</w:t>
      </w:r>
      <w:proofErr w:type="spellEnd"/>
      <w:r w:rsidRPr="00E40033">
        <w:t xml:space="preserve"> A, Waltman L, Wang D, </w:t>
      </w:r>
      <w:proofErr w:type="spellStart"/>
      <w:r w:rsidRPr="00E40033">
        <w:t>Barabási</w:t>
      </w:r>
      <w:proofErr w:type="spellEnd"/>
      <w:r w:rsidRPr="00E40033">
        <w:t xml:space="preserve"> AL. Science of science. </w:t>
      </w:r>
      <w:r w:rsidRPr="00E40033">
        <w:rPr>
          <w:i/>
          <w:iCs/>
        </w:rPr>
        <w:t>Science</w:t>
      </w:r>
      <w:r w:rsidRPr="00E40033">
        <w:t>. 2018 Mar 2;359(6379):eaao0185. doi:10.1126/science.aao0185</w:t>
      </w:r>
    </w:p>
    <w:p w14:paraId="6DDCED38" w14:textId="1BD9F35B" w:rsidR="00B4307C" w:rsidRDefault="00B4307C" w:rsidP="00F25EC0">
      <w:r>
        <w:t>[2]</w:t>
      </w:r>
      <w:r w:rsidR="007F31BA">
        <w:tab/>
      </w:r>
      <w:r w:rsidR="007F31BA" w:rsidRPr="007F31BA">
        <w:t xml:space="preserve">Ho M, Price HCW, Evans TS, O’Sullivan E. Dynamics of technology emergence in innovation networks. </w:t>
      </w:r>
      <w:r w:rsidR="007F31BA" w:rsidRPr="007F31BA">
        <w:rPr>
          <w:i/>
          <w:iCs/>
        </w:rPr>
        <w:t>Scientific Reports</w:t>
      </w:r>
      <w:r w:rsidR="007F31BA" w:rsidRPr="007F31BA">
        <w:t>. 2024 Jan 16;14(1):1411. doi:10.1038/s41598-023-50280-4.</w:t>
      </w:r>
      <w:r w:rsidR="00466C42">
        <w:br/>
        <w:t>[3]</w:t>
      </w:r>
      <w:r w:rsidR="00466C42">
        <w:tab/>
      </w:r>
      <w:proofErr w:type="spellStart"/>
      <w:r w:rsidR="006B261F" w:rsidRPr="006B261F">
        <w:t>Vasiliauskaite</w:t>
      </w:r>
      <w:proofErr w:type="spellEnd"/>
      <w:r w:rsidR="006B261F" w:rsidRPr="006B261F">
        <w:t xml:space="preserve"> V. Paths and Directed Acyclic Graphs [doctoral thesis]. London: Imperial College London, Department of Physics; 2020 May.</w:t>
      </w:r>
      <w:r w:rsidR="00AE0905">
        <w:br/>
        <w:t>[4]</w:t>
      </w:r>
      <w:r w:rsidR="001055ED">
        <w:tab/>
      </w:r>
      <w:r w:rsidR="001055ED" w:rsidRPr="001055ED">
        <w:t xml:space="preserve">Clough JR. </w:t>
      </w:r>
      <w:r w:rsidR="001055ED" w:rsidRPr="001055ED">
        <w:rPr>
          <w:i/>
          <w:iCs/>
        </w:rPr>
        <w:t>Causal Structure in Networks</w:t>
      </w:r>
      <w:r w:rsidR="001055ED" w:rsidRPr="001055ED">
        <w:t xml:space="preserve"> [doctoral thesis]. London: Imperial College London, Department of Physics, Blackett Laboratory; 2017 May.</w:t>
      </w:r>
    </w:p>
    <w:p w14:paraId="7332D2BD" w14:textId="7E1EDB06" w:rsidR="00EA23CB" w:rsidRDefault="00EA23CB" w:rsidP="00F25EC0">
      <w:r>
        <w:t>[5]</w:t>
      </w:r>
      <w:r w:rsidR="00860FB9">
        <w:tab/>
      </w:r>
      <w:r w:rsidR="00213934" w:rsidRPr="00213934">
        <w:t xml:space="preserve">Schoch D, Brandes U. Re-conceptualizing centrality in social networks. </w:t>
      </w:r>
      <w:r w:rsidR="00213934" w:rsidRPr="00213934">
        <w:rPr>
          <w:i/>
          <w:iCs/>
        </w:rPr>
        <w:t>European Journal of Applied Mathematics</w:t>
      </w:r>
      <w:r w:rsidR="00213934" w:rsidRPr="00213934">
        <w:t>. 2016 Dec;27(6):971-985. doi:10.1017/S0956792516000401</w:t>
      </w:r>
    </w:p>
    <w:p w14:paraId="5EA57CE1" w14:textId="2199BCFA" w:rsidR="00E45F1A" w:rsidRDefault="00E45F1A" w:rsidP="00F25EC0">
      <w:r>
        <w:t>[6]</w:t>
      </w:r>
      <w:r w:rsidR="00CD1CF2">
        <w:tab/>
      </w:r>
      <w:r w:rsidR="00ED6B07" w:rsidRPr="00ED6B07">
        <w:t xml:space="preserve">Coscia M. </w:t>
      </w:r>
      <w:r w:rsidR="00ED6B07" w:rsidRPr="00ED6B07">
        <w:rPr>
          <w:i/>
          <w:iCs/>
        </w:rPr>
        <w:t>The Atlas for the Aspiring Network Scientist</w:t>
      </w:r>
      <w:r w:rsidR="00ED6B07" w:rsidRPr="00ED6B07">
        <w:t xml:space="preserve"> [Internet]. Cambridge (UK): Michele Coscia; 2021 [cited 2025 Oct 6]. Available from: </w:t>
      </w:r>
      <w:hyperlink r:id="rId5" w:history="1">
        <w:r w:rsidR="00916FF8" w:rsidRPr="00E151C2">
          <w:rPr>
            <w:rStyle w:val="Hyperlink"/>
          </w:rPr>
          <w:t>https://www.michelecoscia.com/?page_id=287</w:t>
        </w:r>
      </w:hyperlink>
    </w:p>
    <w:p w14:paraId="07D7AE56" w14:textId="0E0602A3" w:rsidR="00916FF8" w:rsidRDefault="00916FF8" w:rsidP="00F25EC0">
      <w:r>
        <w:t>[7]</w:t>
      </w:r>
      <w:r w:rsidR="00636441">
        <w:tab/>
      </w:r>
      <w:r w:rsidR="00636441" w:rsidRPr="00636441">
        <w:t xml:space="preserve">Liu JS, Lu LYY, Ho MHC. A few notes on main path analysis. </w:t>
      </w:r>
      <w:proofErr w:type="spellStart"/>
      <w:r w:rsidR="00636441" w:rsidRPr="00636441">
        <w:rPr>
          <w:i/>
          <w:iCs/>
        </w:rPr>
        <w:t>Scientometrics</w:t>
      </w:r>
      <w:proofErr w:type="spellEnd"/>
      <w:r w:rsidR="00636441" w:rsidRPr="00636441">
        <w:t>. 2019 Apr;119(1):379-391. doi:10.1007/s11192-019-03034-x.</w:t>
      </w:r>
    </w:p>
    <w:p w14:paraId="619C7E4C" w14:textId="70F79637" w:rsidR="005D0940" w:rsidRDefault="005D0940" w:rsidP="00F25EC0">
      <w:r>
        <w:t>[9]</w:t>
      </w:r>
      <w:r>
        <w:tab/>
      </w:r>
      <w:r w:rsidRPr="005D0940">
        <w:t xml:space="preserve">Hummon NP, </w:t>
      </w:r>
      <w:proofErr w:type="spellStart"/>
      <w:r w:rsidRPr="005D0940">
        <w:t>Doreian</w:t>
      </w:r>
      <w:proofErr w:type="spellEnd"/>
      <w:r w:rsidRPr="005D0940">
        <w:t xml:space="preserve"> P. Connectivity in a citation network: The development of DNA theory. </w:t>
      </w:r>
      <w:r w:rsidRPr="005D0940">
        <w:rPr>
          <w:i/>
          <w:iCs/>
        </w:rPr>
        <w:t>Social Networks</w:t>
      </w:r>
      <w:r w:rsidRPr="005D0940">
        <w:t>. 1989 Jan;11(1):39-63.</w:t>
      </w:r>
    </w:p>
    <w:p w14:paraId="13547615" w14:textId="3143CC7E" w:rsidR="00A13F62" w:rsidRDefault="00A13F62" w:rsidP="00F25EC0">
      <w:r>
        <w:t>[10]</w:t>
      </w:r>
      <w:r w:rsidR="009B2376">
        <w:tab/>
      </w:r>
      <w:proofErr w:type="spellStart"/>
      <w:r w:rsidR="009B2376" w:rsidRPr="009B2376">
        <w:t>Batagelj</w:t>
      </w:r>
      <w:proofErr w:type="spellEnd"/>
      <w:r w:rsidR="009B2376" w:rsidRPr="009B2376">
        <w:t xml:space="preserve"> V. Efficient algorithms for citation network analysis [Internet]. </w:t>
      </w:r>
      <w:proofErr w:type="spellStart"/>
      <w:r w:rsidR="009B2376" w:rsidRPr="009B2376">
        <w:t>arXiv</w:t>
      </w:r>
      <w:proofErr w:type="spellEnd"/>
      <w:r w:rsidR="009B2376" w:rsidRPr="009B2376">
        <w:t xml:space="preserve"> preprint </w:t>
      </w:r>
      <w:proofErr w:type="spellStart"/>
      <w:r w:rsidR="009B2376" w:rsidRPr="009B2376">
        <w:t>arXiv:cs</w:t>
      </w:r>
      <w:proofErr w:type="spellEnd"/>
      <w:r w:rsidR="009B2376" w:rsidRPr="009B2376">
        <w:t xml:space="preserve">/0309023. 2003 Sep 1 [cited 2025 Oct 6]. Available from: </w:t>
      </w:r>
      <w:hyperlink r:id="rId6" w:tgtFrame="_new" w:history="1">
        <w:r w:rsidR="009B2376" w:rsidRPr="009B2376">
          <w:rPr>
            <w:rStyle w:val="Hyperlink"/>
          </w:rPr>
          <w:t>https://doi.org/10.48550/arXiv.cs/0309023</w:t>
        </w:r>
      </w:hyperlink>
    </w:p>
    <w:p w14:paraId="2FA20F58" w14:textId="740DDBB3" w:rsidR="007923C4" w:rsidRDefault="007923C4" w:rsidP="00F25EC0">
      <w:r>
        <w:t>[11]</w:t>
      </w:r>
      <w:r>
        <w:tab/>
      </w:r>
      <w:proofErr w:type="spellStart"/>
      <w:r w:rsidR="008F18E5" w:rsidRPr="008F18E5">
        <w:t>Verspagen</w:t>
      </w:r>
      <w:proofErr w:type="spellEnd"/>
      <w:r w:rsidR="008F18E5" w:rsidRPr="008F18E5">
        <w:t xml:space="preserve"> B. Mapping technological trajectories as patent citation networks: a study on the history of fuel cell research. </w:t>
      </w:r>
      <w:r w:rsidR="008F18E5" w:rsidRPr="008F18E5">
        <w:rPr>
          <w:i/>
          <w:iCs/>
        </w:rPr>
        <w:t>Adv Complex Syst</w:t>
      </w:r>
      <w:r w:rsidR="008F18E5" w:rsidRPr="008F18E5">
        <w:t>. 2007;10(1):93-115. doi:10.1142/S0219525907000945.</w:t>
      </w:r>
    </w:p>
    <w:p w14:paraId="5BBE6769" w14:textId="77777777" w:rsidR="00862E27" w:rsidRPr="00862E27" w:rsidRDefault="00A61468" w:rsidP="00862E27">
      <w:r>
        <w:t>[12]</w:t>
      </w:r>
      <w:r w:rsidR="00862E27">
        <w:tab/>
      </w:r>
      <w:proofErr w:type="spellStart"/>
      <w:r w:rsidR="00862E27" w:rsidRPr="00862E27">
        <w:t>Badiru</w:t>
      </w:r>
      <w:proofErr w:type="spellEnd"/>
      <w:r w:rsidR="00862E27" w:rsidRPr="00862E27">
        <w:t xml:space="preserve"> AB. </w:t>
      </w:r>
      <w:r w:rsidR="00862E27" w:rsidRPr="00862E27">
        <w:rPr>
          <w:i/>
          <w:iCs/>
        </w:rPr>
        <w:t>Handbook of Industrial and Systems Engineering</w:t>
      </w:r>
      <w:r w:rsidR="00862E27" w:rsidRPr="00862E27">
        <w:t>. 2nd ed. Boca Raton (FL): CRC Press; 2013.</w:t>
      </w:r>
    </w:p>
    <w:p w14:paraId="625581A9" w14:textId="7F2462A5" w:rsidR="00A61468" w:rsidRDefault="00862E27" w:rsidP="00F25EC0">
      <w:r>
        <w:t>[13]</w:t>
      </w:r>
      <w:r>
        <w:tab/>
      </w:r>
      <w:r w:rsidR="00E655C2" w:rsidRPr="00E655C2">
        <w:t xml:space="preserve">Clough JR, Evans TS. Embedding graphs in Lorentzian spacetime. </w:t>
      </w:r>
      <w:proofErr w:type="spellStart"/>
      <w:r w:rsidR="00E655C2" w:rsidRPr="00E655C2">
        <w:rPr>
          <w:i/>
          <w:iCs/>
        </w:rPr>
        <w:t>PLoS</w:t>
      </w:r>
      <w:proofErr w:type="spellEnd"/>
      <w:r w:rsidR="00E655C2" w:rsidRPr="00E655C2">
        <w:rPr>
          <w:i/>
          <w:iCs/>
        </w:rPr>
        <w:t xml:space="preserve"> One</w:t>
      </w:r>
      <w:r w:rsidR="00E655C2" w:rsidRPr="00E655C2">
        <w:t>. 2017;12(11):e0187301. doi:10.1371/journal.pone.0187301</w:t>
      </w:r>
    </w:p>
    <w:p w14:paraId="1E44DEB2" w14:textId="2428A164" w:rsidR="004C0375" w:rsidRDefault="004C0375" w:rsidP="00F25EC0">
      <w:r>
        <w:t>[14]</w:t>
      </w:r>
      <w:r w:rsidR="00D65BF0">
        <w:tab/>
      </w:r>
      <w:r w:rsidR="00D65BF0" w:rsidRPr="00D65BF0">
        <w:t xml:space="preserve">Dolgin E. The tangled history of mRNA vaccines. </w:t>
      </w:r>
      <w:r w:rsidR="00D65BF0" w:rsidRPr="00D65BF0">
        <w:rPr>
          <w:i/>
          <w:iCs/>
        </w:rPr>
        <w:t>Nature</w:t>
      </w:r>
      <w:r w:rsidR="00D65BF0" w:rsidRPr="00D65BF0">
        <w:t>. 2021 Sep;597(7876):318-324. doi:10.1038/d41586-021-02483-2.</w:t>
      </w:r>
    </w:p>
    <w:p w14:paraId="2C98DC6B" w14:textId="0DFAEA12" w:rsidR="00D65BF0" w:rsidRDefault="00D65BF0" w:rsidP="00F25EC0">
      <w:r>
        <w:t>[15]</w:t>
      </w:r>
      <w:r>
        <w:tab/>
      </w:r>
      <w:r w:rsidRPr="00D65BF0">
        <w:t>Xu, S., Yang, K., Li, R. &amp; Zhang, L. mRNA vaccine era: Mechanisms, drug platform and clinical prospection. Int. J. Mol. Sci. 21(18), 6582 (2020).</w:t>
      </w:r>
    </w:p>
    <w:p w14:paraId="55174F45" w14:textId="4474C2F3" w:rsidR="00706C11" w:rsidRDefault="00706C11" w:rsidP="00F25EC0">
      <w:r>
        <w:t>[16]</w:t>
      </w:r>
      <w:r>
        <w:tab/>
      </w:r>
      <w:r w:rsidR="000A7877" w:rsidRPr="000A7877">
        <w:t xml:space="preserve">Garfield E. Citation frequency as a measure of research activity and performance. </w:t>
      </w:r>
      <w:r w:rsidR="000A7877" w:rsidRPr="000A7877">
        <w:rPr>
          <w:i/>
          <w:iCs/>
        </w:rPr>
        <w:t>Essays of an Information Scientist</w:t>
      </w:r>
      <w:r w:rsidR="000A7877" w:rsidRPr="000A7877">
        <w:t>. 1973;1(2):406-408.</w:t>
      </w:r>
    </w:p>
    <w:p w14:paraId="6C09EECD" w14:textId="54DF373E" w:rsidR="00F266A6" w:rsidRDefault="00F266A6" w:rsidP="00F25EC0">
      <w:r>
        <w:t>[17]</w:t>
      </w:r>
      <w:r>
        <w:tab/>
      </w:r>
      <w:r w:rsidRPr="00F266A6">
        <w:t xml:space="preserve">Nieminen J. On the centrality in a graph. </w:t>
      </w:r>
      <w:r w:rsidRPr="00F266A6">
        <w:rPr>
          <w:i/>
          <w:iCs/>
        </w:rPr>
        <w:t>Scand J Psychol</w:t>
      </w:r>
      <w:r w:rsidRPr="00F266A6">
        <w:t>. 1974 Sep;15(1):332-336. doi:10.1111/j.1467-9450.1974.tb00598.x.</w:t>
      </w:r>
    </w:p>
    <w:p w14:paraId="54866B97" w14:textId="293D8751" w:rsidR="002C0C5B" w:rsidRDefault="002C0C5B" w:rsidP="00F25EC0">
      <w:r>
        <w:lastRenderedPageBreak/>
        <w:t>[18]</w:t>
      </w:r>
      <w:r>
        <w:tab/>
      </w:r>
      <w:r w:rsidR="00CE2D38" w:rsidRPr="00CE2D38">
        <w:rPr>
          <w:i/>
          <w:iCs/>
        </w:rPr>
        <w:t>Landherr A, Friedl B, Heidemann J. A Critical Review of Centrality Measures in Social Networks.</w:t>
      </w:r>
      <w:r w:rsidR="00CE2D38" w:rsidRPr="00CE2D38">
        <w:t xml:space="preserve"> Business &amp; Information Systems Engineering. 2010;2(6):371-385. doi:10.1007/s12599-010-0127-3</w:t>
      </w:r>
    </w:p>
    <w:p w14:paraId="692C59F7" w14:textId="03D59226" w:rsidR="00BC1DC9" w:rsidRDefault="00BC1DC9" w:rsidP="00F25EC0">
      <w:r>
        <w:t>[19]</w:t>
      </w:r>
      <w:r w:rsidR="00067B0D">
        <w:tab/>
      </w:r>
      <w:r w:rsidR="00067B0D" w:rsidRPr="00067B0D">
        <w:t xml:space="preserve">Beauchamp MA. An improved index of centrality. </w:t>
      </w:r>
      <w:proofErr w:type="spellStart"/>
      <w:r w:rsidR="00067B0D" w:rsidRPr="00067B0D">
        <w:rPr>
          <w:i/>
          <w:iCs/>
        </w:rPr>
        <w:t>Behav</w:t>
      </w:r>
      <w:proofErr w:type="spellEnd"/>
      <w:r w:rsidR="00067B0D" w:rsidRPr="00067B0D">
        <w:rPr>
          <w:i/>
          <w:iCs/>
        </w:rPr>
        <w:t xml:space="preserve"> Sci</w:t>
      </w:r>
      <w:r w:rsidR="00067B0D" w:rsidRPr="00067B0D">
        <w:t>. 1965;10(2):161-163.</w:t>
      </w:r>
    </w:p>
    <w:p w14:paraId="57229205" w14:textId="3F91AEEC" w:rsidR="003668DE" w:rsidRDefault="003668DE" w:rsidP="00F25EC0">
      <w:r>
        <w:t>[20]</w:t>
      </w:r>
      <w:r w:rsidR="00234D36">
        <w:tab/>
      </w:r>
      <w:proofErr w:type="spellStart"/>
      <w:r w:rsidR="00234D36" w:rsidRPr="00234D36">
        <w:t>Sabidussi</w:t>
      </w:r>
      <w:proofErr w:type="spellEnd"/>
      <w:r w:rsidR="00234D36" w:rsidRPr="00234D36">
        <w:t xml:space="preserve"> G. The centrality index of a graph. </w:t>
      </w:r>
      <w:r w:rsidR="00234D36" w:rsidRPr="00234D36">
        <w:rPr>
          <w:i/>
          <w:iCs/>
        </w:rPr>
        <w:t>Psychometrika</w:t>
      </w:r>
      <w:r w:rsidR="00234D36" w:rsidRPr="00234D36">
        <w:t>. 1966;31(4):581-603. doi:10.1007/BF02289527.</w:t>
      </w:r>
    </w:p>
    <w:p w14:paraId="41BD7C92" w14:textId="7D43AC93" w:rsidR="004275CE" w:rsidRDefault="004275CE" w:rsidP="00F25EC0">
      <w:r>
        <w:t>[21]</w:t>
      </w:r>
      <w:r>
        <w:tab/>
      </w:r>
      <w:r w:rsidR="009B3F4C" w:rsidRPr="009B3F4C">
        <w:t xml:space="preserve">Freeman LC. A set of measures of centrality based on betweenness. </w:t>
      </w:r>
      <w:r w:rsidR="009B3F4C" w:rsidRPr="009B3F4C">
        <w:rPr>
          <w:i/>
          <w:iCs/>
        </w:rPr>
        <w:t>Sociometry</w:t>
      </w:r>
      <w:r w:rsidR="009B3F4C" w:rsidRPr="009B3F4C">
        <w:t>. 1977;40(1):35-41. doi:10.2307/3033543.</w:t>
      </w:r>
    </w:p>
    <w:p w14:paraId="25A639AF" w14:textId="77777777" w:rsidR="00595B2C" w:rsidRPr="00595B2C" w:rsidRDefault="00595B2C" w:rsidP="00595B2C">
      <w:r>
        <w:t>[22]</w:t>
      </w:r>
      <w:r>
        <w:tab/>
      </w:r>
      <w:proofErr w:type="spellStart"/>
      <w:r w:rsidRPr="00595B2C">
        <w:t>Bonacich</w:t>
      </w:r>
      <w:proofErr w:type="spellEnd"/>
      <w:r w:rsidRPr="00595B2C">
        <w:t xml:space="preserve"> P, Lloyd P. Eigenvector-like measures of centrality for asymmetric relations. </w:t>
      </w:r>
      <w:r w:rsidRPr="00595B2C">
        <w:rPr>
          <w:i/>
          <w:iCs/>
        </w:rPr>
        <w:t>Soc Networks</w:t>
      </w:r>
      <w:r w:rsidRPr="00595B2C">
        <w:t>. 2001;23(3):191-201. doi:10.1016/S0378-8733(01)00028-7.</w:t>
      </w:r>
    </w:p>
    <w:p w14:paraId="3256BD6C" w14:textId="0E10B2AE" w:rsidR="00595B2C" w:rsidRDefault="003D0317" w:rsidP="00F25EC0">
      <w:r>
        <w:t>[23]</w:t>
      </w:r>
      <w:r>
        <w:tab/>
      </w:r>
      <w:r w:rsidRPr="003D0317">
        <w:t xml:space="preserve">Jordán F, Benedek Z, Podani J. Quantifying positional importance in food webs: a comparison of centrality indices. </w:t>
      </w:r>
      <w:proofErr w:type="spellStart"/>
      <w:r w:rsidRPr="003D0317">
        <w:rPr>
          <w:i/>
          <w:iCs/>
        </w:rPr>
        <w:t>Ecol</w:t>
      </w:r>
      <w:proofErr w:type="spellEnd"/>
      <w:r w:rsidRPr="003D0317">
        <w:rPr>
          <w:i/>
          <w:iCs/>
        </w:rPr>
        <w:t xml:space="preserve"> Model</w:t>
      </w:r>
      <w:r w:rsidRPr="003D0317">
        <w:t>. 2007;205(1):270–275. doi:10.1016/j.ecolmodel.2007.02.032.</w:t>
      </w:r>
    </w:p>
    <w:p w14:paraId="7C2826E6" w14:textId="088F4063" w:rsidR="009E7F38" w:rsidRDefault="009E7F38" w:rsidP="00F25EC0">
      <w:r>
        <w:t>[24]</w:t>
      </w:r>
      <w:r>
        <w:tab/>
      </w:r>
      <w:r w:rsidR="00F96AF7" w:rsidRPr="00F96AF7">
        <w:t xml:space="preserve">Brin S, Page L. The anatomy of a large-scale hypertextual web search engine. </w:t>
      </w:r>
      <w:proofErr w:type="spellStart"/>
      <w:r w:rsidR="00F96AF7" w:rsidRPr="00F96AF7">
        <w:rPr>
          <w:i/>
          <w:iCs/>
        </w:rPr>
        <w:t>Comput</w:t>
      </w:r>
      <w:proofErr w:type="spellEnd"/>
      <w:r w:rsidR="00F96AF7" w:rsidRPr="00F96AF7">
        <w:rPr>
          <w:i/>
          <w:iCs/>
        </w:rPr>
        <w:t xml:space="preserve"> Networks ISDN Syst</w:t>
      </w:r>
      <w:r w:rsidR="00F96AF7" w:rsidRPr="00F96AF7">
        <w:t>. 1998;30(1–7):107–117. doi:10.1016/S0169-7552(98)00110-X.</w:t>
      </w:r>
    </w:p>
    <w:sectPr w:rsidR="009E7F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3AB7"/>
    <w:multiLevelType w:val="hybridMultilevel"/>
    <w:tmpl w:val="55201530"/>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5C252E"/>
    <w:multiLevelType w:val="multilevel"/>
    <w:tmpl w:val="2336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05220"/>
    <w:multiLevelType w:val="multilevel"/>
    <w:tmpl w:val="CE96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B03E1"/>
    <w:multiLevelType w:val="multilevel"/>
    <w:tmpl w:val="FCAC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16253"/>
    <w:multiLevelType w:val="multilevel"/>
    <w:tmpl w:val="8D9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E0A1D"/>
    <w:multiLevelType w:val="multilevel"/>
    <w:tmpl w:val="7752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D49B5"/>
    <w:multiLevelType w:val="multilevel"/>
    <w:tmpl w:val="E730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E74A9"/>
    <w:multiLevelType w:val="multilevel"/>
    <w:tmpl w:val="94AE3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2662FD"/>
    <w:multiLevelType w:val="multilevel"/>
    <w:tmpl w:val="C4EA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82514"/>
    <w:multiLevelType w:val="multilevel"/>
    <w:tmpl w:val="67E8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366011">
    <w:abstractNumId w:val="0"/>
  </w:num>
  <w:num w:numId="2" w16cid:durableId="738090747">
    <w:abstractNumId w:val="7"/>
  </w:num>
  <w:num w:numId="3" w16cid:durableId="1314721268">
    <w:abstractNumId w:val="1"/>
  </w:num>
  <w:num w:numId="4" w16cid:durableId="147672096">
    <w:abstractNumId w:val="9"/>
  </w:num>
  <w:num w:numId="5" w16cid:durableId="1376664651">
    <w:abstractNumId w:val="2"/>
  </w:num>
  <w:num w:numId="6" w16cid:durableId="1842046015">
    <w:abstractNumId w:val="8"/>
  </w:num>
  <w:num w:numId="7" w16cid:durableId="807747154">
    <w:abstractNumId w:val="4"/>
  </w:num>
  <w:num w:numId="8" w16cid:durableId="750008731">
    <w:abstractNumId w:val="6"/>
  </w:num>
  <w:num w:numId="9" w16cid:durableId="1515924374">
    <w:abstractNumId w:val="5"/>
  </w:num>
  <w:num w:numId="10" w16cid:durableId="17116135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41D"/>
    <w:rsid w:val="00007A16"/>
    <w:rsid w:val="00010764"/>
    <w:rsid w:val="0002134B"/>
    <w:rsid w:val="00027CF4"/>
    <w:rsid w:val="00045A37"/>
    <w:rsid w:val="00054077"/>
    <w:rsid w:val="00060593"/>
    <w:rsid w:val="00063E87"/>
    <w:rsid w:val="00067B0D"/>
    <w:rsid w:val="00077D6D"/>
    <w:rsid w:val="00092134"/>
    <w:rsid w:val="00094A2E"/>
    <w:rsid w:val="000A67E9"/>
    <w:rsid w:val="000A7877"/>
    <w:rsid w:val="000C5E82"/>
    <w:rsid w:val="000D1B04"/>
    <w:rsid w:val="000D5F2D"/>
    <w:rsid w:val="000E24F7"/>
    <w:rsid w:val="001055ED"/>
    <w:rsid w:val="00152E19"/>
    <w:rsid w:val="001569C5"/>
    <w:rsid w:val="00161A14"/>
    <w:rsid w:val="00171FF5"/>
    <w:rsid w:val="001941CE"/>
    <w:rsid w:val="0019448B"/>
    <w:rsid w:val="001A3D2F"/>
    <w:rsid w:val="001A5EC7"/>
    <w:rsid w:val="001A781F"/>
    <w:rsid w:val="001A7C47"/>
    <w:rsid w:val="001B0260"/>
    <w:rsid w:val="001B308B"/>
    <w:rsid w:val="001E4A47"/>
    <w:rsid w:val="001F3F7B"/>
    <w:rsid w:val="001F53F9"/>
    <w:rsid w:val="00203B2A"/>
    <w:rsid w:val="00213934"/>
    <w:rsid w:val="00234D36"/>
    <w:rsid w:val="0026380E"/>
    <w:rsid w:val="00276746"/>
    <w:rsid w:val="002A2586"/>
    <w:rsid w:val="002A5040"/>
    <w:rsid w:val="002A7105"/>
    <w:rsid w:val="002B1E0D"/>
    <w:rsid w:val="002C0C5B"/>
    <w:rsid w:val="002C3B4B"/>
    <w:rsid w:val="002D13FC"/>
    <w:rsid w:val="002E7A7A"/>
    <w:rsid w:val="002F3B71"/>
    <w:rsid w:val="002F7084"/>
    <w:rsid w:val="00305E45"/>
    <w:rsid w:val="00312A3D"/>
    <w:rsid w:val="0032554C"/>
    <w:rsid w:val="00344915"/>
    <w:rsid w:val="00352765"/>
    <w:rsid w:val="0035557F"/>
    <w:rsid w:val="003615A1"/>
    <w:rsid w:val="00361B0C"/>
    <w:rsid w:val="003668DE"/>
    <w:rsid w:val="00377C9A"/>
    <w:rsid w:val="00386824"/>
    <w:rsid w:val="00390AD1"/>
    <w:rsid w:val="003959B1"/>
    <w:rsid w:val="003B39C1"/>
    <w:rsid w:val="003D0317"/>
    <w:rsid w:val="003D4072"/>
    <w:rsid w:val="003E1117"/>
    <w:rsid w:val="003E2D3A"/>
    <w:rsid w:val="003F63D4"/>
    <w:rsid w:val="00403592"/>
    <w:rsid w:val="0042198E"/>
    <w:rsid w:val="00421B77"/>
    <w:rsid w:val="004275CE"/>
    <w:rsid w:val="00440FAF"/>
    <w:rsid w:val="00456C1F"/>
    <w:rsid w:val="00466C42"/>
    <w:rsid w:val="00471C63"/>
    <w:rsid w:val="00483A25"/>
    <w:rsid w:val="00486647"/>
    <w:rsid w:val="004A3B96"/>
    <w:rsid w:val="004A65AD"/>
    <w:rsid w:val="004B21FA"/>
    <w:rsid w:val="004C0375"/>
    <w:rsid w:val="004C21FE"/>
    <w:rsid w:val="004C6799"/>
    <w:rsid w:val="004D0119"/>
    <w:rsid w:val="004D4CBA"/>
    <w:rsid w:val="004E2E92"/>
    <w:rsid w:val="00517DE7"/>
    <w:rsid w:val="00567444"/>
    <w:rsid w:val="005715BF"/>
    <w:rsid w:val="005912E5"/>
    <w:rsid w:val="00595B2C"/>
    <w:rsid w:val="005A03FB"/>
    <w:rsid w:val="005B1511"/>
    <w:rsid w:val="005D0940"/>
    <w:rsid w:val="005D34F8"/>
    <w:rsid w:val="005D7597"/>
    <w:rsid w:val="005F0B93"/>
    <w:rsid w:val="0060551A"/>
    <w:rsid w:val="00610BB5"/>
    <w:rsid w:val="0061446B"/>
    <w:rsid w:val="00615508"/>
    <w:rsid w:val="00636441"/>
    <w:rsid w:val="006402E4"/>
    <w:rsid w:val="006419F4"/>
    <w:rsid w:val="00643F06"/>
    <w:rsid w:val="00650431"/>
    <w:rsid w:val="006528D7"/>
    <w:rsid w:val="00655B5A"/>
    <w:rsid w:val="00661105"/>
    <w:rsid w:val="00663154"/>
    <w:rsid w:val="00667494"/>
    <w:rsid w:val="00673B56"/>
    <w:rsid w:val="00686D68"/>
    <w:rsid w:val="00692BBA"/>
    <w:rsid w:val="00697E63"/>
    <w:rsid w:val="006A511A"/>
    <w:rsid w:val="006B261F"/>
    <w:rsid w:val="006B3C7A"/>
    <w:rsid w:val="006B4893"/>
    <w:rsid w:val="006B51F3"/>
    <w:rsid w:val="006B538B"/>
    <w:rsid w:val="006B6C73"/>
    <w:rsid w:val="006C2003"/>
    <w:rsid w:val="006C2474"/>
    <w:rsid w:val="006F54DB"/>
    <w:rsid w:val="006F58E1"/>
    <w:rsid w:val="00706C11"/>
    <w:rsid w:val="007107AA"/>
    <w:rsid w:val="0072491E"/>
    <w:rsid w:val="00731A3B"/>
    <w:rsid w:val="00744051"/>
    <w:rsid w:val="00750073"/>
    <w:rsid w:val="00786453"/>
    <w:rsid w:val="007923C4"/>
    <w:rsid w:val="007B3F1E"/>
    <w:rsid w:val="007B5AAD"/>
    <w:rsid w:val="007D45BD"/>
    <w:rsid w:val="007F31BA"/>
    <w:rsid w:val="00815FF9"/>
    <w:rsid w:val="00860FB9"/>
    <w:rsid w:val="00862E27"/>
    <w:rsid w:val="008647AD"/>
    <w:rsid w:val="00874150"/>
    <w:rsid w:val="0089138B"/>
    <w:rsid w:val="008B7C8A"/>
    <w:rsid w:val="008D1EC6"/>
    <w:rsid w:val="008E4E2A"/>
    <w:rsid w:val="008F18E5"/>
    <w:rsid w:val="00916FF8"/>
    <w:rsid w:val="0092033A"/>
    <w:rsid w:val="00920AD6"/>
    <w:rsid w:val="00924A8E"/>
    <w:rsid w:val="0092682B"/>
    <w:rsid w:val="00946107"/>
    <w:rsid w:val="00966F2D"/>
    <w:rsid w:val="00971722"/>
    <w:rsid w:val="00980F5D"/>
    <w:rsid w:val="009B2376"/>
    <w:rsid w:val="009B3F4C"/>
    <w:rsid w:val="009D6159"/>
    <w:rsid w:val="009E3169"/>
    <w:rsid w:val="009E5CE2"/>
    <w:rsid w:val="009E7F38"/>
    <w:rsid w:val="009F4B06"/>
    <w:rsid w:val="00A04C85"/>
    <w:rsid w:val="00A13F62"/>
    <w:rsid w:val="00A22766"/>
    <w:rsid w:val="00A267E4"/>
    <w:rsid w:val="00A36718"/>
    <w:rsid w:val="00A44B24"/>
    <w:rsid w:val="00A44F9C"/>
    <w:rsid w:val="00A60E65"/>
    <w:rsid w:val="00A61468"/>
    <w:rsid w:val="00A84149"/>
    <w:rsid w:val="00AA5714"/>
    <w:rsid w:val="00AD68E9"/>
    <w:rsid w:val="00AE0905"/>
    <w:rsid w:val="00AE67B3"/>
    <w:rsid w:val="00AF576A"/>
    <w:rsid w:val="00B20DE5"/>
    <w:rsid w:val="00B36C57"/>
    <w:rsid w:val="00B425D2"/>
    <w:rsid w:val="00B4307C"/>
    <w:rsid w:val="00B478B8"/>
    <w:rsid w:val="00B8242C"/>
    <w:rsid w:val="00B83AB2"/>
    <w:rsid w:val="00B8508A"/>
    <w:rsid w:val="00BC1DC9"/>
    <w:rsid w:val="00BD17C8"/>
    <w:rsid w:val="00BE728F"/>
    <w:rsid w:val="00BF5F64"/>
    <w:rsid w:val="00C04F9E"/>
    <w:rsid w:val="00C11E45"/>
    <w:rsid w:val="00C2228B"/>
    <w:rsid w:val="00C27DA9"/>
    <w:rsid w:val="00C4298E"/>
    <w:rsid w:val="00C619CC"/>
    <w:rsid w:val="00C6580B"/>
    <w:rsid w:val="00C71B86"/>
    <w:rsid w:val="00C74AEF"/>
    <w:rsid w:val="00CA090A"/>
    <w:rsid w:val="00CB3A8E"/>
    <w:rsid w:val="00CD1CF2"/>
    <w:rsid w:val="00CE2D38"/>
    <w:rsid w:val="00D04F0E"/>
    <w:rsid w:val="00D21042"/>
    <w:rsid w:val="00D26A82"/>
    <w:rsid w:val="00D357CA"/>
    <w:rsid w:val="00D41673"/>
    <w:rsid w:val="00D44D3C"/>
    <w:rsid w:val="00D4704C"/>
    <w:rsid w:val="00D478BE"/>
    <w:rsid w:val="00D5256F"/>
    <w:rsid w:val="00D5470D"/>
    <w:rsid w:val="00D55CDB"/>
    <w:rsid w:val="00D65BF0"/>
    <w:rsid w:val="00D66F96"/>
    <w:rsid w:val="00D71FBA"/>
    <w:rsid w:val="00D87A27"/>
    <w:rsid w:val="00DB102D"/>
    <w:rsid w:val="00DC1DDC"/>
    <w:rsid w:val="00DE0294"/>
    <w:rsid w:val="00DF627F"/>
    <w:rsid w:val="00DF6F4F"/>
    <w:rsid w:val="00E013B8"/>
    <w:rsid w:val="00E10323"/>
    <w:rsid w:val="00E16B2A"/>
    <w:rsid w:val="00E27743"/>
    <w:rsid w:val="00E37407"/>
    <w:rsid w:val="00E40033"/>
    <w:rsid w:val="00E45F1A"/>
    <w:rsid w:val="00E46B52"/>
    <w:rsid w:val="00E47A4B"/>
    <w:rsid w:val="00E546E9"/>
    <w:rsid w:val="00E655C2"/>
    <w:rsid w:val="00E73D57"/>
    <w:rsid w:val="00E76EB6"/>
    <w:rsid w:val="00E8365E"/>
    <w:rsid w:val="00E87B51"/>
    <w:rsid w:val="00E959AC"/>
    <w:rsid w:val="00EA2241"/>
    <w:rsid w:val="00EA23CB"/>
    <w:rsid w:val="00EC2143"/>
    <w:rsid w:val="00EC2FA9"/>
    <w:rsid w:val="00ED6B07"/>
    <w:rsid w:val="00EF719F"/>
    <w:rsid w:val="00F21572"/>
    <w:rsid w:val="00F25EC0"/>
    <w:rsid w:val="00F266A6"/>
    <w:rsid w:val="00F3541D"/>
    <w:rsid w:val="00F414E1"/>
    <w:rsid w:val="00F52300"/>
    <w:rsid w:val="00F66FD4"/>
    <w:rsid w:val="00F76AE9"/>
    <w:rsid w:val="00F87718"/>
    <w:rsid w:val="00F92F0D"/>
    <w:rsid w:val="00F94563"/>
    <w:rsid w:val="00F96544"/>
    <w:rsid w:val="00F96AF7"/>
    <w:rsid w:val="00FB1366"/>
    <w:rsid w:val="00FB2972"/>
    <w:rsid w:val="00FB32BE"/>
    <w:rsid w:val="00FC1B47"/>
    <w:rsid w:val="00FC5687"/>
    <w:rsid w:val="00FC6308"/>
    <w:rsid w:val="00FD02F7"/>
    <w:rsid w:val="00FE21A2"/>
    <w:rsid w:val="00FE3271"/>
    <w:rsid w:val="00FE607B"/>
    <w:rsid w:val="00FF12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4BF5"/>
  <w15:chartTrackingRefBased/>
  <w15:docId w15:val="{047408BB-0240-4C7D-94C2-D19D53731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A82"/>
  </w:style>
  <w:style w:type="paragraph" w:styleId="Heading1">
    <w:name w:val="heading 1"/>
    <w:basedOn w:val="Normal"/>
    <w:next w:val="Normal"/>
    <w:link w:val="Heading1Char"/>
    <w:uiPriority w:val="9"/>
    <w:qFormat/>
    <w:rsid w:val="00F35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41D"/>
    <w:rPr>
      <w:rFonts w:eastAsiaTheme="majorEastAsia" w:cstheme="majorBidi"/>
      <w:color w:val="272727" w:themeColor="text1" w:themeTint="D8"/>
    </w:rPr>
  </w:style>
  <w:style w:type="paragraph" w:styleId="Title">
    <w:name w:val="Title"/>
    <w:basedOn w:val="Normal"/>
    <w:next w:val="Normal"/>
    <w:link w:val="TitleChar"/>
    <w:uiPriority w:val="10"/>
    <w:qFormat/>
    <w:rsid w:val="00F35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41D"/>
    <w:pPr>
      <w:spacing w:before="160"/>
      <w:jc w:val="center"/>
    </w:pPr>
    <w:rPr>
      <w:i/>
      <w:iCs/>
      <w:color w:val="404040" w:themeColor="text1" w:themeTint="BF"/>
    </w:rPr>
  </w:style>
  <w:style w:type="character" w:customStyle="1" w:styleId="QuoteChar">
    <w:name w:val="Quote Char"/>
    <w:basedOn w:val="DefaultParagraphFont"/>
    <w:link w:val="Quote"/>
    <w:uiPriority w:val="29"/>
    <w:rsid w:val="00F3541D"/>
    <w:rPr>
      <w:i/>
      <w:iCs/>
      <w:color w:val="404040" w:themeColor="text1" w:themeTint="BF"/>
    </w:rPr>
  </w:style>
  <w:style w:type="paragraph" w:styleId="ListParagraph">
    <w:name w:val="List Paragraph"/>
    <w:basedOn w:val="Normal"/>
    <w:uiPriority w:val="34"/>
    <w:qFormat/>
    <w:rsid w:val="00F3541D"/>
    <w:pPr>
      <w:ind w:left="720"/>
      <w:contextualSpacing/>
    </w:pPr>
  </w:style>
  <w:style w:type="character" w:styleId="IntenseEmphasis">
    <w:name w:val="Intense Emphasis"/>
    <w:basedOn w:val="DefaultParagraphFont"/>
    <w:uiPriority w:val="21"/>
    <w:qFormat/>
    <w:rsid w:val="00F3541D"/>
    <w:rPr>
      <w:i/>
      <w:iCs/>
      <w:color w:val="0F4761" w:themeColor="accent1" w:themeShade="BF"/>
    </w:rPr>
  </w:style>
  <w:style w:type="paragraph" w:styleId="IntenseQuote">
    <w:name w:val="Intense Quote"/>
    <w:basedOn w:val="Normal"/>
    <w:next w:val="Normal"/>
    <w:link w:val="IntenseQuoteChar"/>
    <w:uiPriority w:val="30"/>
    <w:qFormat/>
    <w:rsid w:val="00F35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41D"/>
    <w:rPr>
      <w:i/>
      <w:iCs/>
      <w:color w:val="0F4761" w:themeColor="accent1" w:themeShade="BF"/>
    </w:rPr>
  </w:style>
  <w:style w:type="character" w:styleId="IntenseReference">
    <w:name w:val="Intense Reference"/>
    <w:basedOn w:val="DefaultParagraphFont"/>
    <w:uiPriority w:val="32"/>
    <w:qFormat/>
    <w:rsid w:val="00F3541D"/>
    <w:rPr>
      <w:b/>
      <w:bCs/>
      <w:smallCaps/>
      <w:color w:val="0F4761" w:themeColor="accent1" w:themeShade="BF"/>
      <w:spacing w:val="5"/>
    </w:rPr>
  </w:style>
  <w:style w:type="character" w:styleId="Hyperlink">
    <w:name w:val="Hyperlink"/>
    <w:basedOn w:val="DefaultParagraphFont"/>
    <w:uiPriority w:val="99"/>
    <w:unhideWhenUsed/>
    <w:rsid w:val="00916FF8"/>
    <w:rPr>
      <w:color w:val="467886" w:themeColor="hyperlink"/>
      <w:u w:val="single"/>
    </w:rPr>
  </w:style>
  <w:style w:type="character" w:styleId="UnresolvedMention">
    <w:name w:val="Unresolved Mention"/>
    <w:basedOn w:val="DefaultParagraphFont"/>
    <w:uiPriority w:val="99"/>
    <w:semiHidden/>
    <w:unhideWhenUsed/>
    <w:rsid w:val="00916FF8"/>
    <w:rPr>
      <w:color w:val="605E5C"/>
      <w:shd w:val="clear" w:color="auto" w:fill="E1DFDD"/>
    </w:rPr>
  </w:style>
  <w:style w:type="paragraph" w:styleId="NormalWeb">
    <w:name w:val="Normal (Web)"/>
    <w:basedOn w:val="Normal"/>
    <w:uiPriority w:val="99"/>
    <w:semiHidden/>
    <w:unhideWhenUsed/>
    <w:rsid w:val="00862E2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48550/arXiv.cs/0309023" TargetMode="External"/><Relationship Id="rId5" Type="http://schemas.openxmlformats.org/officeDocument/2006/relationships/hyperlink" Target="https://www.michelecoscia.com/?page_id=28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982</TotalTime>
  <Pages>6</Pages>
  <Words>2080</Words>
  <Characters>14750</Characters>
  <Application>Microsoft Office Word</Application>
  <DocSecurity>0</DocSecurity>
  <Lines>196</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Diamond, Sid</dc:creator>
  <cp:keywords/>
  <dc:description/>
  <cp:lastModifiedBy>Diamond, Sid</cp:lastModifiedBy>
  <cp:revision>236</cp:revision>
  <dcterms:created xsi:type="dcterms:W3CDTF">2025-10-04T18:13:00Z</dcterms:created>
  <dcterms:modified xsi:type="dcterms:W3CDTF">2025-10-06T00:55:00Z</dcterms:modified>
</cp:coreProperties>
</file>