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96" w:type="dxa"/>
        <w:tblLook w:val="04A0" w:firstRow="1" w:lastRow="0" w:firstColumn="1" w:lastColumn="0" w:noHBand="0" w:noVBand="1"/>
      </w:tblPr>
      <w:tblGrid>
        <w:gridCol w:w="2086"/>
        <w:gridCol w:w="743"/>
        <w:gridCol w:w="748"/>
        <w:gridCol w:w="9"/>
        <w:gridCol w:w="1089"/>
        <w:gridCol w:w="1098"/>
        <w:gridCol w:w="1098"/>
        <w:gridCol w:w="1011"/>
        <w:gridCol w:w="1016"/>
        <w:gridCol w:w="1098"/>
      </w:tblGrid>
      <w:tr w:rsidR="00072DCE" w:rsidTr="00072DCE">
        <w:trPr>
          <w:trHeight w:val="825"/>
        </w:trPr>
        <w:tc>
          <w:tcPr>
            <w:tcW w:w="2086" w:type="dxa"/>
          </w:tcPr>
          <w:p w:rsidR="00646C39" w:rsidRDefault="00646C39" w:rsidP="001B6FF2">
            <w:proofErr w:type="spellStart"/>
            <w:r>
              <w:t>Algorithems</w:t>
            </w:r>
            <w:proofErr w:type="spellEnd"/>
            <w:r>
              <w:t>/errors%</w:t>
            </w:r>
          </w:p>
        </w:tc>
        <w:tc>
          <w:tcPr>
            <w:tcW w:w="1025" w:type="dxa"/>
          </w:tcPr>
          <w:p w:rsidR="00646C39" w:rsidRDefault="00646C39" w:rsidP="001B6FF2">
            <w:r>
              <w:t>5</w:t>
            </w:r>
          </w:p>
        </w:tc>
        <w:tc>
          <w:tcPr>
            <w:tcW w:w="1040" w:type="dxa"/>
          </w:tcPr>
          <w:p w:rsidR="00646C39" w:rsidRDefault="00646C39" w:rsidP="001B6FF2">
            <w:r>
              <w:t>10</w:t>
            </w:r>
          </w:p>
        </w:tc>
        <w:tc>
          <w:tcPr>
            <w:tcW w:w="1098" w:type="dxa"/>
            <w:gridSpan w:val="2"/>
          </w:tcPr>
          <w:p w:rsidR="00646C39" w:rsidRDefault="00646C39" w:rsidP="001B6FF2">
            <w:r>
              <w:t>15</w:t>
            </w:r>
          </w:p>
        </w:tc>
        <w:tc>
          <w:tcPr>
            <w:tcW w:w="1098" w:type="dxa"/>
          </w:tcPr>
          <w:p w:rsidR="00646C39" w:rsidRDefault="00646C39" w:rsidP="001B6FF2">
            <w:r>
              <w:t>20</w:t>
            </w:r>
          </w:p>
        </w:tc>
        <w:tc>
          <w:tcPr>
            <w:tcW w:w="1098" w:type="dxa"/>
          </w:tcPr>
          <w:p w:rsidR="00646C39" w:rsidRDefault="00646C39" w:rsidP="001B6FF2">
            <w:r>
              <w:t>25</w:t>
            </w:r>
          </w:p>
        </w:tc>
        <w:tc>
          <w:tcPr>
            <w:tcW w:w="1058" w:type="dxa"/>
          </w:tcPr>
          <w:p w:rsidR="00646C39" w:rsidRDefault="00646C39" w:rsidP="001B6FF2">
            <w:r>
              <w:t>30</w:t>
            </w:r>
          </w:p>
        </w:tc>
        <w:tc>
          <w:tcPr>
            <w:tcW w:w="1073" w:type="dxa"/>
          </w:tcPr>
          <w:p w:rsidR="00646C39" w:rsidRDefault="00646C39" w:rsidP="001B6FF2">
            <w:r>
              <w:t>35</w:t>
            </w:r>
          </w:p>
        </w:tc>
        <w:tc>
          <w:tcPr>
            <w:tcW w:w="420" w:type="dxa"/>
            <w:shd w:val="clear" w:color="auto" w:fill="auto"/>
          </w:tcPr>
          <w:p w:rsidR="00072DCE" w:rsidRDefault="00072DCE">
            <w:r>
              <w:t>40</w:t>
            </w:r>
          </w:p>
        </w:tc>
      </w:tr>
      <w:tr w:rsidR="00072DCE" w:rsidTr="00072DCE">
        <w:trPr>
          <w:trHeight w:val="825"/>
        </w:trPr>
        <w:tc>
          <w:tcPr>
            <w:tcW w:w="2086" w:type="dxa"/>
          </w:tcPr>
          <w:p w:rsidR="00646C39" w:rsidRDefault="00646C39" w:rsidP="001B6FF2"/>
          <w:p w:rsidR="00061040" w:rsidRDefault="00061040" w:rsidP="001B6FF2">
            <w:r>
              <w:t>Independent static homeostatic prediction strategy</w:t>
            </w:r>
          </w:p>
          <w:p w:rsidR="00061040" w:rsidRDefault="00061040" w:rsidP="001B6FF2"/>
          <w:p w:rsidR="00061040" w:rsidRDefault="00061040" w:rsidP="001B6FF2"/>
        </w:tc>
        <w:tc>
          <w:tcPr>
            <w:tcW w:w="1025" w:type="dxa"/>
          </w:tcPr>
          <w:p w:rsidR="00646C39" w:rsidRDefault="00646C39" w:rsidP="001B6FF2">
            <w:r>
              <w:t>49%</w:t>
            </w:r>
          </w:p>
        </w:tc>
        <w:tc>
          <w:tcPr>
            <w:tcW w:w="1040" w:type="dxa"/>
          </w:tcPr>
          <w:p w:rsidR="00646C39" w:rsidRDefault="00646C39" w:rsidP="001B6FF2">
            <w:r>
              <w:t>68</w:t>
            </w:r>
            <w:r w:rsidR="00061040">
              <w:t>%</w:t>
            </w:r>
          </w:p>
        </w:tc>
        <w:tc>
          <w:tcPr>
            <w:tcW w:w="1098" w:type="dxa"/>
            <w:gridSpan w:val="2"/>
          </w:tcPr>
          <w:p w:rsidR="00646C39" w:rsidRDefault="00BD5449" w:rsidP="001B6FF2">
            <w:r>
              <w:t>37.5214%</w:t>
            </w:r>
          </w:p>
        </w:tc>
        <w:tc>
          <w:tcPr>
            <w:tcW w:w="1098" w:type="dxa"/>
          </w:tcPr>
          <w:p w:rsidR="00646C39" w:rsidRDefault="00072DCE" w:rsidP="001B6FF2">
            <w:r>
              <w:t>10.224%</w:t>
            </w:r>
          </w:p>
        </w:tc>
        <w:tc>
          <w:tcPr>
            <w:tcW w:w="1098" w:type="dxa"/>
          </w:tcPr>
          <w:p w:rsidR="00646C39" w:rsidRDefault="005D5E1C" w:rsidP="001B6FF2">
            <w:r>
              <w:t>275%</w:t>
            </w:r>
          </w:p>
        </w:tc>
        <w:tc>
          <w:tcPr>
            <w:tcW w:w="1058" w:type="dxa"/>
          </w:tcPr>
          <w:p w:rsidR="00646C39" w:rsidRDefault="00072DCE" w:rsidP="001B6FF2">
            <w:r>
              <w:t>71</w:t>
            </w:r>
            <w:r w:rsidR="007B3391">
              <w:t>%</w:t>
            </w:r>
          </w:p>
        </w:tc>
        <w:tc>
          <w:tcPr>
            <w:tcW w:w="1073" w:type="dxa"/>
          </w:tcPr>
          <w:p w:rsidR="00646C39" w:rsidRDefault="00072DCE" w:rsidP="001B6FF2">
            <w:r>
              <w:t>9%</w:t>
            </w:r>
          </w:p>
        </w:tc>
        <w:tc>
          <w:tcPr>
            <w:tcW w:w="420" w:type="dxa"/>
            <w:shd w:val="clear" w:color="auto" w:fill="auto"/>
          </w:tcPr>
          <w:p w:rsidR="00072DCE" w:rsidRDefault="00072DCE">
            <w:r>
              <w:t>75.259%</w:t>
            </w:r>
          </w:p>
        </w:tc>
      </w:tr>
      <w:tr w:rsidR="00072DCE" w:rsidTr="00072DCE">
        <w:trPr>
          <w:trHeight w:val="862"/>
        </w:trPr>
        <w:tc>
          <w:tcPr>
            <w:tcW w:w="2086" w:type="dxa"/>
          </w:tcPr>
          <w:p w:rsidR="00646C39" w:rsidRDefault="001B6FF2" w:rsidP="001B6FF2">
            <w:r>
              <w:t>Independent dynamic homeostatic prediction strategy</w:t>
            </w:r>
          </w:p>
          <w:p w:rsidR="001B6FF2" w:rsidRDefault="001B6FF2" w:rsidP="001B6FF2"/>
        </w:tc>
        <w:tc>
          <w:tcPr>
            <w:tcW w:w="1025" w:type="dxa"/>
          </w:tcPr>
          <w:p w:rsidR="00646C39" w:rsidRDefault="00646C39" w:rsidP="001B6FF2">
            <w:r>
              <w:t>24</w:t>
            </w:r>
            <w:r w:rsidR="00061040">
              <w:t>%</w:t>
            </w:r>
          </w:p>
        </w:tc>
        <w:tc>
          <w:tcPr>
            <w:tcW w:w="1040" w:type="dxa"/>
          </w:tcPr>
          <w:p w:rsidR="00646C39" w:rsidRDefault="00646C39" w:rsidP="001B6FF2">
            <w:r>
              <w:t>43</w:t>
            </w:r>
            <w:r w:rsidR="00061040">
              <w:t>%</w:t>
            </w:r>
          </w:p>
        </w:tc>
        <w:tc>
          <w:tcPr>
            <w:tcW w:w="1098" w:type="dxa"/>
            <w:gridSpan w:val="2"/>
          </w:tcPr>
          <w:p w:rsidR="00646C39" w:rsidRDefault="00BD5449" w:rsidP="001B6FF2">
            <w:r>
              <w:t>22.193%</w:t>
            </w:r>
          </w:p>
        </w:tc>
        <w:tc>
          <w:tcPr>
            <w:tcW w:w="1098" w:type="dxa"/>
          </w:tcPr>
          <w:p w:rsidR="00646C39" w:rsidRDefault="00072DCE" w:rsidP="001B6FF2">
            <w:r>
              <w:t>2.22815%</w:t>
            </w:r>
          </w:p>
        </w:tc>
        <w:tc>
          <w:tcPr>
            <w:tcW w:w="1098" w:type="dxa"/>
          </w:tcPr>
          <w:p w:rsidR="00646C39" w:rsidRDefault="00072DCE" w:rsidP="001B6FF2">
            <w:r>
              <w:t>43.5396%</w:t>
            </w:r>
          </w:p>
        </w:tc>
        <w:tc>
          <w:tcPr>
            <w:tcW w:w="1058" w:type="dxa"/>
          </w:tcPr>
          <w:p w:rsidR="00646C39" w:rsidRDefault="00072DCE" w:rsidP="001B6FF2">
            <w:r>
              <w:t>19.82%</w:t>
            </w:r>
          </w:p>
        </w:tc>
        <w:tc>
          <w:tcPr>
            <w:tcW w:w="1073" w:type="dxa"/>
          </w:tcPr>
          <w:p w:rsidR="00646C39" w:rsidRDefault="00072DCE" w:rsidP="001B6FF2">
            <w:r>
              <w:t>32.44%</w:t>
            </w:r>
          </w:p>
        </w:tc>
        <w:tc>
          <w:tcPr>
            <w:tcW w:w="420" w:type="dxa"/>
            <w:shd w:val="clear" w:color="auto" w:fill="auto"/>
          </w:tcPr>
          <w:p w:rsidR="00072DCE" w:rsidRDefault="005A42C4">
            <w:r>
              <w:t>48.2</w:t>
            </w:r>
          </w:p>
        </w:tc>
      </w:tr>
      <w:tr w:rsidR="00072DCE" w:rsidTr="00072DCE">
        <w:trPr>
          <w:trHeight w:val="825"/>
        </w:trPr>
        <w:tc>
          <w:tcPr>
            <w:tcW w:w="2086" w:type="dxa"/>
          </w:tcPr>
          <w:p w:rsidR="001B6FF2" w:rsidRDefault="001B6FF2" w:rsidP="001B6FF2">
            <w:r>
              <w:t>Relative static homeostatic prediction strategy</w:t>
            </w:r>
          </w:p>
          <w:p w:rsidR="00646C39" w:rsidRDefault="00646C39" w:rsidP="001B6FF2"/>
        </w:tc>
        <w:tc>
          <w:tcPr>
            <w:tcW w:w="1025" w:type="dxa"/>
          </w:tcPr>
          <w:p w:rsidR="00646C39" w:rsidRDefault="00646C39" w:rsidP="001B6FF2">
            <w:r>
              <w:t>41</w:t>
            </w:r>
            <w:r w:rsidR="00061040">
              <w:t>%</w:t>
            </w:r>
          </w:p>
        </w:tc>
        <w:tc>
          <w:tcPr>
            <w:tcW w:w="1040" w:type="dxa"/>
          </w:tcPr>
          <w:p w:rsidR="00646C39" w:rsidRDefault="00646C39" w:rsidP="001B6FF2">
            <w:r>
              <w:t>58</w:t>
            </w:r>
            <w:r w:rsidR="00061040">
              <w:t>%</w:t>
            </w:r>
          </w:p>
        </w:tc>
        <w:tc>
          <w:tcPr>
            <w:tcW w:w="1098" w:type="dxa"/>
            <w:gridSpan w:val="2"/>
          </w:tcPr>
          <w:p w:rsidR="00646C39" w:rsidRDefault="00BD5449" w:rsidP="001B6FF2">
            <w:r>
              <w:t>48.17%</w:t>
            </w:r>
          </w:p>
        </w:tc>
        <w:tc>
          <w:tcPr>
            <w:tcW w:w="1098" w:type="dxa"/>
          </w:tcPr>
          <w:p w:rsidR="00646C39" w:rsidRDefault="00072DCE" w:rsidP="001B6FF2">
            <w:r>
              <w:t>7.921%</w:t>
            </w:r>
          </w:p>
        </w:tc>
        <w:tc>
          <w:tcPr>
            <w:tcW w:w="1098" w:type="dxa"/>
          </w:tcPr>
          <w:p w:rsidR="00646C39" w:rsidRDefault="00072DCE" w:rsidP="001B6FF2">
            <w:r>
              <w:t>155%</w:t>
            </w:r>
          </w:p>
        </w:tc>
        <w:tc>
          <w:tcPr>
            <w:tcW w:w="1058" w:type="dxa"/>
          </w:tcPr>
          <w:p w:rsidR="00646C39" w:rsidRDefault="00072DCE" w:rsidP="001B6FF2">
            <w:r>
              <w:t>100%</w:t>
            </w:r>
          </w:p>
          <w:p w:rsidR="00C8127A" w:rsidRDefault="00C8127A" w:rsidP="001B6FF2"/>
        </w:tc>
        <w:tc>
          <w:tcPr>
            <w:tcW w:w="1073" w:type="dxa"/>
          </w:tcPr>
          <w:p w:rsidR="00646C39" w:rsidRDefault="00072DCE" w:rsidP="001B6FF2">
            <w:r>
              <w:t>46.3%</w:t>
            </w:r>
          </w:p>
        </w:tc>
        <w:tc>
          <w:tcPr>
            <w:tcW w:w="420" w:type="dxa"/>
            <w:shd w:val="clear" w:color="auto" w:fill="auto"/>
          </w:tcPr>
          <w:p w:rsidR="00072DCE" w:rsidRDefault="005A42C4">
            <w:r>
              <w:t>62%</w:t>
            </w:r>
          </w:p>
        </w:tc>
      </w:tr>
      <w:tr w:rsidR="00072DCE" w:rsidTr="00072DCE">
        <w:trPr>
          <w:trHeight w:val="825"/>
        </w:trPr>
        <w:tc>
          <w:tcPr>
            <w:tcW w:w="2086" w:type="dxa"/>
          </w:tcPr>
          <w:p w:rsidR="00646C39" w:rsidRDefault="001B6FF2" w:rsidP="001B6FF2">
            <w:r>
              <w:t>Relative dynamic homeostatic prediction strategy</w:t>
            </w:r>
          </w:p>
        </w:tc>
        <w:tc>
          <w:tcPr>
            <w:tcW w:w="1025" w:type="dxa"/>
          </w:tcPr>
          <w:p w:rsidR="00646C39" w:rsidRDefault="00646C39" w:rsidP="001B6FF2">
            <w:r>
              <w:t>17</w:t>
            </w:r>
            <w:r w:rsidR="00061040">
              <w:t>%</w:t>
            </w:r>
          </w:p>
        </w:tc>
        <w:tc>
          <w:tcPr>
            <w:tcW w:w="1040" w:type="dxa"/>
          </w:tcPr>
          <w:p w:rsidR="00646C39" w:rsidRDefault="00646C39" w:rsidP="001B6FF2">
            <w:r>
              <w:t>24</w:t>
            </w:r>
            <w:r w:rsidR="00061040">
              <w:t>%</w:t>
            </w:r>
          </w:p>
        </w:tc>
        <w:tc>
          <w:tcPr>
            <w:tcW w:w="1098" w:type="dxa"/>
            <w:gridSpan w:val="2"/>
          </w:tcPr>
          <w:p w:rsidR="00646C39" w:rsidRDefault="00072DCE" w:rsidP="001B6FF2">
            <w:r>
              <w:t>17.7457%</w:t>
            </w:r>
          </w:p>
        </w:tc>
        <w:tc>
          <w:tcPr>
            <w:tcW w:w="1098" w:type="dxa"/>
          </w:tcPr>
          <w:p w:rsidR="00646C39" w:rsidRDefault="00072DCE" w:rsidP="001B6FF2">
            <w:r>
              <w:t>24.995%</w:t>
            </w:r>
          </w:p>
        </w:tc>
        <w:tc>
          <w:tcPr>
            <w:tcW w:w="1098" w:type="dxa"/>
          </w:tcPr>
          <w:p w:rsidR="00646C39" w:rsidRDefault="005D5E1C" w:rsidP="001B6FF2">
            <w:r>
              <w:t>24%</w:t>
            </w:r>
          </w:p>
        </w:tc>
        <w:tc>
          <w:tcPr>
            <w:tcW w:w="1058" w:type="dxa"/>
          </w:tcPr>
          <w:p w:rsidR="00646C39" w:rsidRDefault="00072DCE" w:rsidP="001B6FF2">
            <w:r>
              <w:t>24%</w:t>
            </w:r>
          </w:p>
        </w:tc>
        <w:tc>
          <w:tcPr>
            <w:tcW w:w="1073" w:type="dxa"/>
          </w:tcPr>
          <w:p w:rsidR="00646C39" w:rsidRDefault="00072DCE" w:rsidP="001B6FF2">
            <w:r>
              <w:t>26</w:t>
            </w:r>
            <w:r w:rsidR="00C8127A">
              <w:t>%</w:t>
            </w:r>
          </w:p>
        </w:tc>
        <w:tc>
          <w:tcPr>
            <w:tcW w:w="420" w:type="dxa"/>
            <w:shd w:val="clear" w:color="auto" w:fill="auto"/>
          </w:tcPr>
          <w:p w:rsidR="00072DCE" w:rsidRDefault="005A42C4">
            <w:r>
              <w:t>24.3125%</w:t>
            </w:r>
          </w:p>
        </w:tc>
      </w:tr>
      <w:tr w:rsidR="00072DCE" w:rsidTr="00072DCE">
        <w:trPr>
          <w:trHeight w:val="916"/>
        </w:trPr>
        <w:tc>
          <w:tcPr>
            <w:tcW w:w="2086" w:type="dxa"/>
          </w:tcPr>
          <w:p w:rsidR="00646C39" w:rsidRDefault="001B6FF2" w:rsidP="001B6FF2">
            <w:r>
              <w:t>Tendency-based prediction strategies</w:t>
            </w:r>
          </w:p>
        </w:tc>
        <w:tc>
          <w:tcPr>
            <w:tcW w:w="1025" w:type="dxa"/>
          </w:tcPr>
          <w:p w:rsidR="00646C39" w:rsidRDefault="00C8127A" w:rsidP="001B6FF2">
            <w:r>
              <w:t>/</w:t>
            </w:r>
          </w:p>
        </w:tc>
        <w:tc>
          <w:tcPr>
            <w:tcW w:w="1040" w:type="dxa"/>
          </w:tcPr>
          <w:p w:rsidR="00646C39" w:rsidRDefault="00C8127A" w:rsidP="001B6FF2">
            <w:r>
              <w:t>/</w:t>
            </w:r>
          </w:p>
        </w:tc>
        <w:tc>
          <w:tcPr>
            <w:tcW w:w="1098" w:type="dxa"/>
            <w:gridSpan w:val="2"/>
          </w:tcPr>
          <w:p w:rsidR="00646C39" w:rsidRDefault="00C8127A" w:rsidP="001B6FF2">
            <w:r>
              <w:t>/</w:t>
            </w:r>
          </w:p>
        </w:tc>
        <w:tc>
          <w:tcPr>
            <w:tcW w:w="1098" w:type="dxa"/>
          </w:tcPr>
          <w:p w:rsidR="00646C39" w:rsidRDefault="00C8127A" w:rsidP="001B6FF2">
            <w:r>
              <w:t>/</w:t>
            </w:r>
          </w:p>
        </w:tc>
        <w:tc>
          <w:tcPr>
            <w:tcW w:w="1098" w:type="dxa"/>
          </w:tcPr>
          <w:p w:rsidR="00646C39" w:rsidRDefault="00C8127A" w:rsidP="001B6FF2">
            <w:r>
              <w:t>/</w:t>
            </w:r>
          </w:p>
        </w:tc>
        <w:tc>
          <w:tcPr>
            <w:tcW w:w="1058" w:type="dxa"/>
          </w:tcPr>
          <w:p w:rsidR="00646C39" w:rsidRDefault="00C8127A" w:rsidP="001B6FF2">
            <w:r>
              <w:t>/</w:t>
            </w:r>
          </w:p>
        </w:tc>
        <w:tc>
          <w:tcPr>
            <w:tcW w:w="1073" w:type="dxa"/>
          </w:tcPr>
          <w:p w:rsidR="00646C39" w:rsidRDefault="00C8127A" w:rsidP="001B6FF2">
            <w:r>
              <w:t>/</w:t>
            </w:r>
          </w:p>
        </w:tc>
        <w:tc>
          <w:tcPr>
            <w:tcW w:w="420" w:type="dxa"/>
            <w:shd w:val="clear" w:color="auto" w:fill="auto"/>
          </w:tcPr>
          <w:p w:rsidR="00072DCE" w:rsidRDefault="00072DCE">
            <w:r>
              <w:t>/</w:t>
            </w:r>
          </w:p>
        </w:tc>
      </w:tr>
      <w:tr w:rsidR="00072DCE" w:rsidTr="00072DCE">
        <w:tblPrEx>
          <w:tblLook w:val="0000" w:firstRow="0" w:lastRow="0" w:firstColumn="0" w:lastColumn="0" w:noHBand="0" w:noVBand="0"/>
        </w:tblPrEx>
        <w:trPr>
          <w:trHeight w:val="612"/>
        </w:trPr>
        <w:tc>
          <w:tcPr>
            <w:tcW w:w="2086" w:type="dxa"/>
          </w:tcPr>
          <w:p w:rsidR="001B6FF2" w:rsidRDefault="001B6FF2" w:rsidP="001B6FF2">
            <w:r>
              <w:t>Independent dynamic tendency prediction strategy</w:t>
            </w:r>
          </w:p>
          <w:p w:rsidR="001B6FF2" w:rsidRDefault="001B6FF2" w:rsidP="001B6FF2"/>
        </w:tc>
        <w:tc>
          <w:tcPr>
            <w:tcW w:w="1025" w:type="dxa"/>
          </w:tcPr>
          <w:p w:rsidR="001B6FF2" w:rsidRDefault="00846941" w:rsidP="001B6FF2">
            <w:r>
              <w:t>1%</w:t>
            </w:r>
          </w:p>
        </w:tc>
        <w:tc>
          <w:tcPr>
            <w:tcW w:w="1049" w:type="dxa"/>
            <w:gridSpan w:val="2"/>
          </w:tcPr>
          <w:p w:rsidR="001B6FF2" w:rsidRDefault="00846941" w:rsidP="001B6FF2">
            <w:r>
              <w:t>7%</w:t>
            </w:r>
          </w:p>
        </w:tc>
        <w:tc>
          <w:tcPr>
            <w:tcW w:w="1089" w:type="dxa"/>
          </w:tcPr>
          <w:p w:rsidR="001B6FF2" w:rsidRDefault="005A42C4" w:rsidP="001B6FF2">
            <w:r>
              <w:t>13.56</w:t>
            </w:r>
            <w:r w:rsidR="00846941">
              <w:t>%</w:t>
            </w:r>
          </w:p>
        </w:tc>
        <w:tc>
          <w:tcPr>
            <w:tcW w:w="1098" w:type="dxa"/>
          </w:tcPr>
          <w:p w:rsidR="001B6FF2" w:rsidRDefault="005A42C4" w:rsidP="001B6FF2">
            <w:r>
              <w:t>11.23%</w:t>
            </w:r>
          </w:p>
        </w:tc>
        <w:tc>
          <w:tcPr>
            <w:tcW w:w="1098" w:type="dxa"/>
          </w:tcPr>
          <w:p w:rsidR="001B6FF2" w:rsidRDefault="005A42C4" w:rsidP="001B6FF2">
            <w:r>
              <w:t>14.22%</w:t>
            </w:r>
          </w:p>
        </w:tc>
        <w:tc>
          <w:tcPr>
            <w:tcW w:w="1058" w:type="dxa"/>
          </w:tcPr>
          <w:p w:rsidR="001B6FF2" w:rsidRDefault="005A42C4" w:rsidP="001B6FF2">
            <w:r>
              <w:t>24.212%</w:t>
            </w:r>
          </w:p>
        </w:tc>
        <w:tc>
          <w:tcPr>
            <w:tcW w:w="1073" w:type="dxa"/>
          </w:tcPr>
          <w:p w:rsidR="001B6FF2" w:rsidRDefault="00CA79D7" w:rsidP="001B6FF2">
            <w:r>
              <w:t>17.321%</w:t>
            </w:r>
          </w:p>
        </w:tc>
        <w:tc>
          <w:tcPr>
            <w:tcW w:w="420" w:type="dxa"/>
            <w:shd w:val="clear" w:color="auto" w:fill="auto"/>
          </w:tcPr>
          <w:p w:rsidR="00072DCE" w:rsidRDefault="00CA79D7">
            <w:r>
              <w:t>55.69%</w:t>
            </w:r>
          </w:p>
        </w:tc>
      </w:tr>
      <w:tr w:rsidR="00072DCE" w:rsidTr="00072DCE">
        <w:tblPrEx>
          <w:tblLook w:val="0000" w:firstRow="0" w:lastRow="0" w:firstColumn="0" w:lastColumn="0" w:noHBand="0" w:noVBand="0"/>
        </w:tblPrEx>
        <w:trPr>
          <w:trHeight w:val="564"/>
        </w:trPr>
        <w:tc>
          <w:tcPr>
            <w:tcW w:w="2086" w:type="dxa"/>
          </w:tcPr>
          <w:p w:rsidR="001B6FF2" w:rsidRDefault="001B6FF2" w:rsidP="001B6FF2">
            <w:r>
              <w:t>Relative dynamic tendency prediction strategy</w:t>
            </w:r>
          </w:p>
          <w:p w:rsidR="001B6FF2" w:rsidRDefault="001B6FF2" w:rsidP="001B6FF2"/>
        </w:tc>
        <w:tc>
          <w:tcPr>
            <w:tcW w:w="1025" w:type="dxa"/>
          </w:tcPr>
          <w:p w:rsidR="001B6FF2" w:rsidRDefault="00C8127A" w:rsidP="001B6FF2">
            <w:r>
              <w:t>12</w:t>
            </w:r>
            <w:r w:rsidR="00846941">
              <w:t>%</w:t>
            </w:r>
          </w:p>
        </w:tc>
        <w:tc>
          <w:tcPr>
            <w:tcW w:w="1049" w:type="dxa"/>
            <w:gridSpan w:val="2"/>
          </w:tcPr>
          <w:p w:rsidR="001B6FF2" w:rsidRDefault="00846941" w:rsidP="001B6FF2">
            <w:r>
              <w:t>39%</w:t>
            </w:r>
          </w:p>
        </w:tc>
        <w:tc>
          <w:tcPr>
            <w:tcW w:w="1089" w:type="dxa"/>
          </w:tcPr>
          <w:p w:rsidR="001B6FF2" w:rsidRDefault="00846941" w:rsidP="001B6FF2">
            <w:r>
              <w:t>120%</w:t>
            </w:r>
          </w:p>
        </w:tc>
        <w:tc>
          <w:tcPr>
            <w:tcW w:w="1098" w:type="dxa"/>
          </w:tcPr>
          <w:p w:rsidR="001B6FF2" w:rsidRDefault="00AB2424" w:rsidP="001B6FF2">
            <w:r>
              <w:t>46%</w:t>
            </w:r>
          </w:p>
        </w:tc>
        <w:tc>
          <w:tcPr>
            <w:tcW w:w="1098" w:type="dxa"/>
          </w:tcPr>
          <w:p w:rsidR="001B6FF2" w:rsidRDefault="005A42C4" w:rsidP="001B6FF2">
            <w:r>
              <w:t>192%</w:t>
            </w:r>
          </w:p>
        </w:tc>
        <w:tc>
          <w:tcPr>
            <w:tcW w:w="1058" w:type="dxa"/>
          </w:tcPr>
          <w:p w:rsidR="001B6FF2" w:rsidRDefault="005A42C4" w:rsidP="001B6FF2">
            <w:r>
              <w:t>222.13%</w:t>
            </w:r>
          </w:p>
        </w:tc>
        <w:tc>
          <w:tcPr>
            <w:tcW w:w="1073" w:type="dxa"/>
          </w:tcPr>
          <w:p w:rsidR="001B6FF2" w:rsidRDefault="00CA79D7" w:rsidP="001B6FF2">
            <w:r>
              <w:t>100%</w:t>
            </w:r>
          </w:p>
        </w:tc>
        <w:tc>
          <w:tcPr>
            <w:tcW w:w="420" w:type="dxa"/>
            <w:shd w:val="clear" w:color="auto" w:fill="auto"/>
          </w:tcPr>
          <w:p w:rsidR="00072DCE" w:rsidRDefault="00CA79D7">
            <w:r>
              <w:t>122.36%</w:t>
            </w:r>
            <w:bookmarkStart w:id="0" w:name="_GoBack"/>
            <w:bookmarkEnd w:id="0"/>
          </w:p>
        </w:tc>
      </w:tr>
    </w:tbl>
    <w:p w:rsidR="001F481C" w:rsidRDefault="001F481C"/>
    <w:sectPr w:rsidR="001F4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F5C01"/>
    <w:multiLevelType w:val="multilevel"/>
    <w:tmpl w:val="04C66C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39"/>
    <w:rsid w:val="00061040"/>
    <w:rsid w:val="00072DCE"/>
    <w:rsid w:val="001B6FF2"/>
    <w:rsid w:val="001F481C"/>
    <w:rsid w:val="005A42C4"/>
    <w:rsid w:val="005D5E1C"/>
    <w:rsid w:val="00646C39"/>
    <w:rsid w:val="006F3DD4"/>
    <w:rsid w:val="007B3391"/>
    <w:rsid w:val="00846941"/>
    <w:rsid w:val="00AB2424"/>
    <w:rsid w:val="00BD5449"/>
    <w:rsid w:val="00C8127A"/>
    <w:rsid w:val="00CA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CFD06-EA41-46F5-9B02-3322B0A5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104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6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mishra</dc:creator>
  <cp:keywords/>
  <dc:description/>
  <cp:lastModifiedBy>Nayan mishra</cp:lastModifiedBy>
  <cp:revision>2</cp:revision>
  <dcterms:created xsi:type="dcterms:W3CDTF">2016-11-10T09:32:00Z</dcterms:created>
  <dcterms:modified xsi:type="dcterms:W3CDTF">2016-11-10T09:32:00Z</dcterms:modified>
</cp:coreProperties>
</file>